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CE422B" w14:textId="77777777" w:rsidR="006E0AD4" w:rsidRDefault="000411CE">
      <w:pPr>
        <w:pStyle w:val="P68B1DB1-berschrift11"/>
        <w:spacing w:after="240"/>
        <w:rPr>
          <w:szCs w:val="28"/>
        </w:rPr>
      </w:pPr>
      <w:r>
        <w:rPr>
          <w:noProof/>
        </w:rPr>
        <w:pict w14:anchorId="3A229866">
          <v:shape id="_x0000_i1025" type="#_x0000_t75" alt="" style="width:10.05pt;height:11.7pt;mso-width-percent:0;mso-height-percent:0;mso-width-percent:0;mso-height-percent:0" o:bullet="t">
            <v:imagedata r:id="rId7" o:title="artCA85"/>
          </v:shape>
        </w:pict>
      </w:r>
      <w:r>
        <w:t>Sensore di presenza theRonda P360 DALI-2 S UP WH</w:t>
      </w:r>
    </w:p>
    <w:p w14:paraId="2ACD4A2F" w14:textId="6A21168F" w:rsidR="006E0AD4" w:rsidRDefault="000411CE">
      <w:pPr>
        <w:pStyle w:val="P68B1DB1-Standard2"/>
        <w:spacing w:after="40"/>
      </w:pPr>
      <w:r>
        <w:t>Codice articolo (bianco): 2080090</w:t>
      </w:r>
    </w:p>
    <w:p w14:paraId="20A3A965" w14:textId="77777777" w:rsidR="006E0AD4" w:rsidRDefault="006E0AD4">
      <w:pPr>
        <w:spacing w:after="120"/>
        <w:rPr>
          <w:rFonts w:ascii="Arial" w:hAnsi="Arial" w:cs="Arial"/>
          <w:b/>
          <w:sz w:val="20"/>
        </w:rPr>
      </w:pPr>
    </w:p>
    <w:p w14:paraId="41A643A2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227D83AE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44317E48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39C6625A" w14:textId="77777777" w:rsidR="006E0AD4" w:rsidRDefault="000411CE">
      <w:pPr>
        <w:pStyle w:val="P68B1DB1-Aufzhlung3"/>
        <w:spacing w:after="120"/>
        <w:ind w:left="0" w:firstLine="0"/>
      </w:pPr>
      <w:r>
        <w:t>Caratteristiche:</w:t>
      </w:r>
    </w:p>
    <w:p w14:paraId="0AB7FA81" w14:textId="77777777" w:rsidR="006E0AD4" w:rsidRDefault="000411CE">
      <w:pPr>
        <w:pStyle w:val="P68B1DB1-Aufzhlung4"/>
        <w:numPr>
          <w:ilvl w:val="0"/>
          <w:numId w:val="5"/>
        </w:numPr>
        <w:tabs>
          <w:tab w:val="clear" w:pos="300"/>
          <w:tab w:val="left" w:pos="426"/>
        </w:tabs>
        <w:ind w:left="357" w:hanging="357"/>
      </w:pPr>
      <w:r>
        <w:t xml:space="preserve">Sensore di presenza a infrarossi passivo </w:t>
      </w:r>
      <w:r>
        <w:rPr>
          <w:b/>
        </w:rPr>
        <w:t>DALI-2</w:t>
      </w:r>
      <w:r>
        <w:t xml:space="preserve"> per montaggio a soffitto in scatola a incasso</w:t>
      </w:r>
    </w:p>
    <w:p w14:paraId="4F11D83E" w14:textId="77777777" w:rsidR="006E0AD4" w:rsidRDefault="000411CE">
      <w:pPr>
        <w:pStyle w:val="P68B1DB1-Aufzhlung4"/>
        <w:numPr>
          <w:ilvl w:val="0"/>
          <w:numId w:val="5"/>
        </w:numPr>
        <w:tabs>
          <w:tab w:val="clear" w:pos="300"/>
          <w:tab w:val="left" w:pos="426"/>
        </w:tabs>
      </w:pPr>
      <w:r>
        <w:t xml:space="preserve">Questo dispositivo fornisce </w:t>
      </w:r>
      <w:r>
        <w:rPr>
          <w:b/>
        </w:rPr>
        <w:t>informazioni relative alla «presenza» e alla «luminosità» sotto forma di telegramma DALI conforme alla norma IEC 62386 parte 303 / 304</w:t>
      </w:r>
    </w:p>
    <w:p w14:paraId="7AA190E5" w14:textId="77777777" w:rsidR="006E0AD4" w:rsidRDefault="000411CE">
      <w:pPr>
        <w:pStyle w:val="P68B1DB1-Aufzhlung5"/>
        <w:numPr>
          <w:ilvl w:val="0"/>
          <w:numId w:val="5"/>
        </w:numPr>
        <w:tabs>
          <w:tab w:val="clear" w:pos="300"/>
          <w:tab w:val="left" w:pos="426"/>
        </w:tabs>
        <w:ind w:left="357" w:hanging="357"/>
      </w:pPr>
      <w:r>
        <w:t>Range di rilevamento circolare di circa 360°, fino a 491</w:t>
      </w:r>
      <w:r>
        <w:rPr>
          <w:vertAlign w:val="superscript"/>
        </w:rPr>
        <w:t>m²</w:t>
      </w:r>
      <w:r>
        <w:t xml:space="preserve"> (Ø 25 m)</w:t>
      </w:r>
    </w:p>
    <w:p w14:paraId="2340A13F" w14:textId="77777777" w:rsidR="006E0AD4" w:rsidRDefault="000411CE">
      <w:pPr>
        <w:pStyle w:val="P68B1DB1-Aufzhlung4"/>
        <w:numPr>
          <w:ilvl w:val="0"/>
          <w:numId w:val="5"/>
        </w:numPr>
        <w:tabs>
          <w:tab w:val="clear" w:pos="300"/>
          <w:tab w:val="left" w:pos="426"/>
        </w:tabs>
      </w:pPr>
      <w:r>
        <w:t>Limitazione dell’area con clip di copertura (opzionali)</w:t>
      </w:r>
    </w:p>
    <w:p w14:paraId="0176B1B3" w14:textId="77777777" w:rsidR="006E0AD4" w:rsidRDefault="000411CE">
      <w:pPr>
        <w:pStyle w:val="P68B1DB1-Aufzhlung4"/>
        <w:numPr>
          <w:ilvl w:val="0"/>
          <w:numId w:val="5"/>
        </w:numPr>
        <w:tabs>
          <w:tab w:val="clear" w:pos="300"/>
          <w:tab w:val="left" w:pos="426"/>
        </w:tabs>
        <w:ind w:left="357" w:hanging="357"/>
      </w:pPr>
      <w:r>
        <w:t>1 istanza per la presenza</w:t>
      </w:r>
    </w:p>
    <w:p w14:paraId="418BE244" w14:textId="77777777" w:rsidR="006E0AD4" w:rsidRDefault="000411CE">
      <w:pPr>
        <w:pStyle w:val="P68B1DB1-Aufzhlung5"/>
        <w:numPr>
          <w:ilvl w:val="0"/>
          <w:numId w:val="5"/>
        </w:numPr>
        <w:tabs>
          <w:tab w:val="clear" w:pos="300"/>
          <w:tab w:val="left" w:pos="426"/>
        </w:tabs>
        <w:ind w:left="357" w:hanging="357"/>
      </w:pPr>
      <w:r>
        <w:t>3 misurazioni in luce mista</w:t>
      </w:r>
    </w:p>
    <w:p w14:paraId="2E74140F" w14:textId="77777777" w:rsidR="006E0AD4" w:rsidRDefault="000411CE">
      <w:pPr>
        <w:pStyle w:val="P68B1DB1-Aufzhlung5"/>
        <w:numPr>
          <w:ilvl w:val="0"/>
          <w:numId w:val="5"/>
        </w:numPr>
        <w:tabs>
          <w:tab w:val="clear" w:pos="300"/>
          <w:tab w:val="left" w:pos="426"/>
        </w:tabs>
        <w:ind w:left="357" w:hanging="357"/>
      </w:pPr>
      <w:r>
        <w:t>4 istanze per la luminosità – integrale / interna / centrale / finestra</w:t>
      </w:r>
    </w:p>
    <w:p w14:paraId="36326216" w14:textId="77777777" w:rsidR="006E0AD4" w:rsidRDefault="000411CE">
      <w:pPr>
        <w:pStyle w:val="P68B1DB1-Aufzhlung5"/>
        <w:numPr>
          <w:ilvl w:val="0"/>
          <w:numId w:val="5"/>
        </w:numPr>
        <w:tabs>
          <w:tab w:val="clear" w:pos="300"/>
          <w:tab w:val="left" w:pos="426"/>
        </w:tabs>
        <w:ind w:left="357" w:hanging="357"/>
      </w:pPr>
      <w:r>
        <w:t>Semplice calibrazione della misurazione della luminosità</w:t>
      </w:r>
    </w:p>
    <w:p w14:paraId="45E9A947" w14:textId="77777777" w:rsidR="006E0AD4" w:rsidRDefault="000411CE">
      <w:pPr>
        <w:pStyle w:val="P68B1DB1-Aufzhlung4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b/>
        </w:rPr>
      </w:pPr>
      <w:r>
        <w:t>Modalità di prova per verificare il funzionamento e il range di rilevamento</w:t>
      </w:r>
    </w:p>
    <w:p w14:paraId="300FE6FB" w14:textId="77777777" w:rsidR="006E0AD4" w:rsidRDefault="000411CE">
      <w:pPr>
        <w:pStyle w:val="P68B1DB1-Aufzhlung4"/>
        <w:numPr>
          <w:ilvl w:val="0"/>
          <w:numId w:val="5"/>
        </w:numPr>
        <w:tabs>
          <w:tab w:val="clear" w:pos="300"/>
          <w:tab w:val="left" w:pos="426"/>
        </w:tabs>
        <w:ind w:left="357" w:hanging="357"/>
        <w:rPr>
          <w:b/>
        </w:rPr>
      </w:pPr>
      <w:r>
        <w:t>Sensibilità di rilevamento regolabile</w:t>
      </w:r>
    </w:p>
    <w:p w14:paraId="6D1CEB05" w14:textId="77777777" w:rsidR="006E0AD4" w:rsidRDefault="000411CE">
      <w:pPr>
        <w:pStyle w:val="P68B1DB1-Aufzhlung4"/>
        <w:numPr>
          <w:ilvl w:val="0"/>
          <w:numId w:val="5"/>
        </w:numPr>
        <w:tabs>
          <w:tab w:val="clear" w:pos="300"/>
          <w:tab w:val="left" w:pos="426"/>
        </w:tabs>
        <w:ind w:left="357" w:hanging="357"/>
      </w:pPr>
      <w:r>
        <w:t>Configurabile tramite bus DALI o telecomando</w:t>
      </w:r>
    </w:p>
    <w:p w14:paraId="097115BB" w14:textId="77777777" w:rsidR="006E0AD4" w:rsidRDefault="000411CE">
      <w:pPr>
        <w:pStyle w:val="P68B1DB1-91Aufzhlung6"/>
        <w:numPr>
          <w:ilvl w:val="0"/>
          <w:numId w:val="5"/>
        </w:numPr>
        <w:spacing w:before="0" w:after="0" w:line="288" w:lineRule="auto"/>
      </w:pPr>
      <w:r>
        <w:t xml:space="preserve">I </w:t>
      </w:r>
      <w:r>
        <w:rPr>
          <w:b/>
        </w:rPr>
        <w:t>telecomandi utenti</w:t>
      </w:r>
      <w:r>
        <w:t xml:space="preserve"> «theSenda S» o «theSenda B» possono essere utilizzati </w:t>
      </w:r>
      <w:r>
        <w:rPr>
          <w:b/>
        </w:rPr>
        <w:t>per regolare l’intensità della luce o accendere/spegnere i mezzi di illuminazione, comandare le veneziane</w:t>
      </w:r>
      <w:r>
        <w:t xml:space="preserve"> o per altre funzioni tramite il sistema di controllo di livello superiore.</w:t>
      </w:r>
    </w:p>
    <w:p w14:paraId="525B6499" w14:textId="77777777" w:rsidR="006E0AD4" w:rsidRDefault="000411CE">
      <w:pPr>
        <w:pStyle w:val="P68B1DB1-91Aufzhlung6"/>
        <w:numPr>
          <w:ilvl w:val="0"/>
          <w:numId w:val="5"/>
        </w:numPr>
        <w:spacing w:before="0" w:after="0" w:line="288" w:lineRule="auto"/>
      </w:pPr>
      <w:r>
        <w:t xml:space="preserve">Design accattivante </w:t>
      </w:r>
      <w:r>
        <w:rPr>
          <w:b/>
        </w:rPr>
        <w:t>con cornici di copertura intercambiabili in due colori</w:t>
      </w:r>
    </w:p>
    <w:p w14:paraId="172F2E3B" w14:textId="77777777" w:rsidR="006E0AD4" w:rsidRDefault="000411CE">
      <w:pPr>
        <w:pStyle w:val="P68B1DB1-91Aufzhlung6"/>
        <w:numPr>
          <w:ilvl w:val="0"/>
          <w:numId w:val="5"/>
        </w:numPr>
        <w:spacing w:before="0" w:after="0" w:line="288" w:lineRule="auto"/>
      </w:pPr>
      <w:r>
        <w:t>Montaggio a soffitto in scatola a incasso</w:t>
      </w:r>
    </w:p>
    <w:p w14:paraId="080D4F73" w14:textId="77777777" w:rsidR="006E0AD4" w:rsidRDefault="000411CE">
      <w:pPr>
        <w:pStyle w:val="P68B1DB1-91Aufzhlung6"/>
        <w:numPr>
          <w:ilvl w:val="0"/>
          <w:numId w:val="5"/>
        </w:numPr>
        <w:spacing w:before="0" w:after="0" w:line="288" w:lineRule="auto"/>
      </w:pPr>
      <w:r>
        <w:t>Possibilità di montaggio a vista con telaio a vista 110A (opzionale)</w:t>
      </w:r>
    </w:p>
    <w:p w14:paraId="01ADA33B" w14:textId="77777777" w:rsidR="006E0AD4" w:rsidRDefault="000411CE">
      <w:pPr>
        <w:pStyle w:val="P68B1DB1-91Aufzhlung6"/>
        <w:numPr>
          <w:ilvl w:val="0"/>
          <w:numId w:val="5"/>
        </w:numPr>
        <w:spacing w:before="0" w:after="0" w:line="288" w:lineRule="auto"/>
        <w:ind w:left="357" w:hanging="357"/>
      </w:pPr>
      <w:r>
        <w:t xml:space="preserve">Telecomando app «theSenda B» (opzionale) e relativa app «theSenda Plug» </w:t>
      </w:r>
      <w:r>
        <w:br/>
        <w:t>(per iOS/Android)</w:t>
      </w:r>
    </w:p>
    <w:p w14:paraId="7D5BC79A" w14:textId="77777777" w:rsidR="006E0AD4" w:rsidRDefault="000411CE">
      <w:pPr>
        <w:pStyle w:val="P68B1DB1-91Aufzhlung6"/>
        <w:numPr>
          <w:ilvl w:val="0"/>
          <w:numId w:val="5"/>
        </w:numPr>
        <w:spacing w:before="0" w:after="0" w:line="288" w:lineRule="auto"/>
      </w:pPr>
      <w:r>
        <w:t xml:space="preserve">Questo apparecchio è conforme alla norma EN 60669-2-5 e </w:t>
      </w:r>
      <w:r>
        <w:rPr>
          <w:b/>
        </w:rPr>
        <w:t>IEC 62386-101/103/303/304</w:t>
      </w:r>
    </w:p>
    <w:p w14:paraId="45054F7D" w14:textId="77777777" w:rsidR="006E0AD4" w:rsidRDefault="006E0AD4">
      <w:pPr>
        <w:pStyle w:val="Aufzhlung"/>
        <w:ind w:left="0" w:firstLine="0"/>
        <w:rPr>
          <w:rFonts w:ascii="Arial" w:hAnsi="Arial" w:cs="Arial"/>
        </w:rPr>
      </w:pPr>
    </w:p>
    <w:p w14:paraId="77C75895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14:paraId="359E34BB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14:paraId="1159B34B" w14:textId="77777777" w:rsidR="006E0AD4" w:rsidRDefault="000411CE">
      <w:pPr>
        <w:pStyle w:val="P68B1DB1-Aufzhlung7"/>
        <w:spacing w:after="120"/>
        <w:ind w:left="0" w:firstLine="0"/>
      </w:pPr>
      <w:r>
        <w:t>Dati tecnici:</w:t>
      </w:r>
    </w:p>
    <w:p w14:paraId="393FF10E" w14:textId="77777777" w:rsidR="006E0AD4" w:rsidRDefault="000411CE">
      <w:pPr>
        <w:pStyle w:val="P68B1DB1-Aufzhlung4"/>
        <w:ind w:left="0" w:firstLine="0"/>
        <w:rPr>
          <w:spacing w:val="-3"/>
        </w:rPr>
      </w:pPr>
      <w:r>
        <w:rPr>
          <w:spacing w:val="-3"/>
        </w:rPr>
        <w:t xml:space="preserve">tensione di esercizio: </w:t>
      </w:r>
      <w:r>
        <w:rPr>
          <w:spacing w:val="-3"/>
        </w:rPr>
        <w:tab/>
      </w:r>
      <w:r>
        <w:rPr>
          <w:spacing w:val="-3"/>
        </w:rPr>
        <w:tab/>
      </w:r>
      <w:r>
        <w:t>DALI (secondo la norma IEC 62386-101): 10 V – 22,5 V</w:t>
      </w:r>
    </w:p>
    <w:p w14:paraId="650F7163" w14:textId="77777777" w:rsidR="006E0AD4" w:rsidRDefault="000411CE">
      <w:pPr>
        <w:pStyle w:val="P68B1DB1-Aufzhlung8"/>
        <w:ind w:left="0" w:firstLine="0"/>
      </w:pPr>
      <w:r>
        <w:t xml:space="preserve">assorbimento di corrente: </w:t>
      </w:r>
      <w:r>
        <w:tab/>
      </w:r>
      <w:r>
        <w:tab/>
        <w:t>max. 10 mA</w:t>
      </w:r>
    </w:p>
    <w:p w14:paraId="1C7DD1DC" w14:textId="77777777" w:rsidR="006E0AD4" w:rsidRDefault="000411CE">
      <w:pPr>
        <w:pStyle w:val="P68B1DB1-Aufzhlung4"/>
        <w:ind w:left="0" w:firstLine="0"/>
      </w:pPr>
      <w:r>
        <w:rPr>
          <w:spacing w:val="-3"/>
        </w:rPr>
        <w:t xml:space="preserve">Range di rilevamento da seduti: </w:t>
      </w:r>
      <w:r>
        <w:rPr>
          <w:spacing w:val="-3"/>
        </w:rPr>
        <w:tab/>
      </w:r>
      <w:r>
        <w:t>Ø 6 m (Mh. 3 m)</w:t>
      </w:r>
    </w:p>
    <w:p w14:paraId="21E8B82B" w14:textId="77777777" w:rsidR="006E0AD4" w:rsidRDefault="000411CE">
      <w:pPr>
        <w:pStyle w:val="P68B1DB1-Aufzhlung4"/>
        <w:ind w:left="0" w:firstLine="0"/>
      </w:pPr>
      <w:r>
        <w:rPr>
          <w:spacing w:val="-3"/>
        </w:rPr>
        <w:t xml:space="preserve">Range di rilevamento in modalità "camminata": </w:t>
      </w:r>
      <w:r>
        <w:rPr>
          <w:spacing w:val="-3"/>
        </w:rPr>
        <w:tab/>
      </w:r>
      <w:r>
        <w:rPr>
          <w:b/>
        </w:rPr>
        <w:t>Ø 24 m tangenziale</w:t>
      </w:r>
      <w:r>
        <w:t>, Ø 8 m radiale (Mh. 3 m)</w:t>
      </w:r>
    </w:p>
    <w:p w14:paraId="77EE1BE4" w14:textId="77777777" w:rsidR="006E0AD4" w:rsidRDefault="000411CE">
      <w:pPr>
        <w:pStyle w:val="P68B1DB1-Aufzhlung4"/>
        <w:ind w:left="0" w:firstLine="0"/>
        <w:rPr>
          <w:spacing w:val="-3"/>
        </w:rPr>
      </w:pPr>
      <w:r>
        <w:t xml:space="preserve">Altezza di montaggio consigliata Mh: </w:t>
      </w:r>
      <w:r>
        <w:tab/>
      </w:r>
      <w:r>
        <w:rPr>
          <w:b/>
        </w:rPr>
        <w:t>2 – 10 m / max. 15 m</w:t>
      </w:r>
    </w:p>
    <w:p w14:paraId="04B0E49B" w14:textId="77777777" w:rsidR="006E0AD4" w:rsidRDefault="000411CE">
      <w:pPr>
        <w:pStyle w:val="P68B1DB1-Aufzhlung5"/>
        <w:tabs>
          <w:tab w:val="clear" w:pos="300"/>
          <w:tab w:val="left" w:pos="0"/>
        </w:tabs>
        <w:ind w:left="0" w:firstLine="0"/>
      </w:pPr>
      <w:r>
        <w:t xml:space="preserve">misurazione luce: </w:t>
      </w:r>
      <w:r>
        <w:tab/>
      </w:r>
      <w:r>
        <w:tab/>
        <w:t>circa 10 – 10'000 lux</w:t>
      </w:r>
    </w:p>
    <w:p w14:paraId="113EBBA5" w14:textId="77777777" w:rsidR="006E0AD4" w:rsidRDefault="000411CE">
      <w:pPr>
        <w:pStyle w:val="P68B1DB1-Aufzhlung4"/>
        <w:ind w:left="0" w:firstLine="0"/>
      </w:pPr>
      <w:r>
        <w:t xml:space="preserve">Grado di protezione: </w:t>
      </w:r>
      <w:r>
        <w:tab/>
      </w:r>
      <w:r>
        <w:tab/>
      </w:r>
      <w:r>
        <w:tab/>
      </w:r>
      <w:r>
        <w:rPr>
          <w:b/>
        </w:rPr>
        <w:t>IP 54</w:t>
      </w:r>
      <w:r>
        <w:t xml:space="preserve"> (una volta installato)</w:t>
      </w:r>
    </w:p>
    <w:p w14:paraId="2EB1584C" w14:textId="77777777" w:rsidR="006E0AD4" w:rsidRDefault="000411CE">
      <w:pPr>
        <w:pStyle w:val="P68B1DB1-Aufzhlung4"/>
        <w:ind w:left="0" w:firstLine="0"/>
      </w:pPr>
      <w:r>
        <w:t xml:space="preserve">Temperatura di esercizio: </w:t>
      </w:r>
      <w:r>
        <w:tab/>
      </w:r>
      <w:r>
        <w:tab/>
      </w:r>
      <w:r>
        <w:rPr>
          <w:b/>
        </w:rPr>
        <w:t>da -15 °C a +50 °C</w:t>
      </w:r>
    </w:p>
    <w:p w14:paraId="64952DA7" w14:textId="77777777" w:rsidR="006E0AD4" w:rsidRDefault="000411CE">
      <w:pPr>
        <w:pStyle w:val="P68B1DB1-Aufzhlung4"/>
        <w:ind w:left="0" w:firstLine="0"/>
      </w:pPr>
      <w:r>
        <w:t xml:space="preserve">Dimensioni: </w:t>
      </w:r>
      <w:r>
        <w:tab/>
      </w:r>
      <w:r>
        <w:tab/>
      </w:r>
      <w:r>
        <w:tab/>
        <w:t>Ø 110 mm, profondità di incasso 37 mm</w:t>
      </w:r>
    </w:p>
    <w:p w14:paraId="4A055BE6" w14:textId="77777777" w:rsidR="006E0AD4" w:rsidRDefault="000411CE">
      <w:pPr>
        <w:pStyle w:val="P68B1DB1-Aufzhlung4"/>
        <w:ind w:left="0" w:firstLine="0"/>
      </w:pPr>
      <w:r>
        <w:t>Tipo di collegamento:</w:t>
      </w:r>
      <w:r>
        <w:tab/>
      </w:r>
      <w:r>
        <w:tab/>
      </w:r>
      <w:r>
        <w:tab/>
        <w:t>Morsetti a vite / max. 2 x 2,5 mm</w:t>
      </w:r>
      <w:r>
        <w:rPr>
          <w:vertAlign w:val="superscript"/>
        </w:rPr>
        <w:t>2</w:t>
      </w:r>
    </w:p>
    <w:p w14:paraId="4AA3668A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</w:rPr>
      </w:pPr>
    </w:p>
    <w:p w14:paraId="79A189C1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3C2CBC58" w14:textId="77777777" w:rsidR="006E0AD4" w:rsidRDefault="006E0AD4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14:paraId="452EB836" w14:textId="77777777" w:rsidR="006E0AD4" w:rsidRDefault="000411CE">
      <w:pPr>
        <w:pStyle w:val="P68B1DB1-Aufzhlung3"/>
        <w:spacing w:after="120"/>
        <w:ind w:left="0" w:firstLine="0"/>
      </w:pPr>
      <w:r>
        <w:lastRenderedPageBreak/>
        <w:t>Accessori opzionali:</w:t>
      </w:r>
    </w:p>
    <w:p w14:paraId="2C5DB647" w14:textId="77777777" w:rsidR="006E0AD4" w:rsidRDefault="006E0AD4">
      <w:pPr>
        <w:rPr>
          <w:rFonts w:ascii="Arial" w:hAnsi="Arial" w:cs="Arial"/>
          <w:b/>
          <w:sz w:val="20"/>
        </w:rPr>
      </w:pPr>
    </w:p>
    <w:p w14:paraId="22268049" w14:textId="77777777" w:rsidR="006E0AD4" w:rsidRDefault="000411CE">
      <w:pPr>
        <w:pStyle w:val="P68B1DB1-berschrift39"/>
        <w:spacing w:after="120"/>
      </w:pPr>
      <w:r>
        <w:t>Telecomando universale «theSenda B»</w:t>
      </w:r>
    </w:p>
    <w:p w14:paraId="3A1436BA" w14:textId="77777777" w:rsidR="006E0AD4" w:rsidRDefault="000411CE">
      <w:pPr>
        <w:pStyle w:val="P68B1DB1-Standard10"/>
      </w:pPr>
      <w:r>
        <w:t>Telecomando utente con luxmetro integrato.</w:t>
      </w:r>
    </w:p>
    <w:p w14:paraId="34845EFA" w14:textId="77777777" w:rsidR="006E0AD4" w:rsidRDefault="000411CE">
      <w:pPr>
        <w:pStyle w:val="P68B1DB1-Standard10"/>
      </w:pPr>
      <w:r>
        <w:t xml:space="preserve">Telecomando per installatori: con l'app gratuita "theSenda Plug" (per iOS/Android) è possibile effettuare in modo intuitivo la messa in funzione o la regolazione dei parametri. I set di parametri possono essere salvati e denominati in base alle esigenze del cliente ed </w:t>
      </w:r>
      <w:r>
        <w:rPr>
          <w:color w:val="000000" w:themeColor="text1"/>
        </w:rPr>
        <w:t>l'archiviazione, ad esempio tramite e-mail.</w:t>
      </w:r>
    </w:p>
    <w:p w14:paraId="553C7BC1" w14:textId="77777777" w:rsidR="006E0AD4" w:rsidRDefault="006E0AD4">
      <w:pPr>
        <w:rPr>
          <w:rFonts w:ascii="Arial" w:hAnsi="Arial" w:cs="Arial"/>
          <w:sz w:val="10"/>
          <w:szCs w:val="10"/>
        </w:rPr>
      </w:pPr>
    </w:p>
    <w:p w14:paraId="0C647A47" w14:textId="77777777" w:rsidR="006E0AD4" w:rsidRDefault="000411CE">
      <w:pPr>
        <w:pStyle w:val="P68B1DB1-Standard2"/>
        <w:spacing w:after="40"/>
      </w:pPr>
      <w:r>
        <w:t xml:space="preserve">Codice articolo: </w:t>
      </w:r>
      <w:r>
        <w:tab/>
      </w:r>
      <w:r>
        <w:tab/>
      </w:r>
      <w:r>
        <w:tab/>
        <w:t>9070985</w:t>
      </w:r>
    </w:p>
    <w:p w14:paraId="05B39D22" w14:textId="77777777" w:rsidR="006E0AD4" w:rsidRDefault="006E0AD4">
      <w:pPr>
        <w:rPr>
          <w:rFonts w:ascii="Arial" w:hAnsi="Arial" w:cs="Arial"/>
          <w:sz w:val="20"/>
        </w:rPr>
      </w:pPr>
    </w:p>
    <w:p w14:paraId="569FE2B0" w14:textId="77777777" w:rsidR="006E0AD4" w:rsidRDefault="006E0AD4">
      <w:pPr>
        <w:rPr>
          <w:rFonts w:ascii="Arial" w:hAnsi="Arial" w:cs="Arial"/>
          <w:sz w:val="20"/>
        </w:rPr>
      </w:pPr>
    </w:p>
    <w:p w14:paraId="4EC862C3" w14:textId="77777777" w:rsidR="006E0AD4" w:rsidRDefault="000411CE">
      <w:pPr>
        <w:pStyle w:val="P68B1DB1-berschrift39"/>
        <w:spacing w:after="120"/>
      </w:pPr>
      <w:r>
        <w:t>Telecomando di assistenza «theSenda P»</w:t>
      </w:r>
    </w:p>
    <w:p w14:paraId="7881B119" w14:textId="77777777" w:rsidR="006E0AD4" w:rsidRDefault="000411CE">
      <w:pPr>
        <w:pStyle w:val="P68B1DB1-Standard2"/>
        <w:spacing w:after="40"/>
      </w:pPr>
      <w:r>
        <w:t xml:space="preserve">Codice articolo: </w:t>
      </w:r>
      <w:r>
        <w:tab/>
      </w:r>
      <w:r>
        <w:tab/>
      </w:r>
      <w:r>
        <w:tab/>
        <w:t>9070910</w:t>
      </w:r>
    </w:p>
    <w:p w14:paraId="2273F941" w14:textId="77777777" w:rsidR="006E0AD4" w:rsidRDefault="006E0AD4">
      <w:pPr>
        <w:rPr>
          <w:rFonts w:ascii="Arial" w:hAnsi="Arial" w:cs="Arial"/>
          <w:sz w:val="20"/>
        </w:rPr>
      </w:pPr>
    </w:p>
    <w:p w14:paraId="562DFF1D" w14:textId="77777777" w:rsidR="006E0AD4" w:rsidRDefault="006E0AD4">
      <w:pPr>
        <w:rPr>
          <w:rFonts w:ascii="Arial" w:hAnsi="Arial" w:cs="Arial"/>
          <w:sz w:val="20"/>
        </w:rPr>
      </w:pPr>
    </w:p>
    <w:p w14:paraId="3DA0E6D5" w14:textId="77777777" w:rsidR="006E0AD4" w:rsidRDefault="000411CE">
      <w:pPr>
        <w:pStyle w:val="P68B1DB1-berschrift39"/>
        <w:spacing w:after="120"/>
      </w:pPr>
      <w:r>
        <w:t>Telecomando utente «theSenda S»</w:t>
      </w:r>
    </w:p>
    <w:p w14:paraId="60C4576A" w14:textId="77777777" w:rsidR="006E0AD4" w:rsidRDefault="000411CE">
      <w:pPr>
        <w:pStyle w:val="P68B1DB1-Standard2"/>
        <w:spacing w:after="40"/>
      </w:pPr>
      <w:r>
        <w:t xml:space="preserve">Codice articolo: </w:t>
      </w:r>
      <w:r>
        <w:tab/>
      </w:r>
      <w:r>
        <w:tab/>
      </w:r>
      <w:r>
        <w:tab/>
        <w:t>9070911</w:t>
      </w:r>
    </w:p>
    <w:p w14:paraId="675A55C5" w14:textId="77777777" w:rsidR="006E0AD4" w:rsidRDefault="006E0AD4">
      <w:pPr>
        <w:rPr>
          <w:rFonts w:ascii="Arial" w:hAnsi="Arial" w:cs="Arial"/>
          <w:sz w:val="20"/>
        </w:rPr>
      </w:pPr>
    </w:p>
    <w:p w14:paraId="0F9965B9" w14:textId="77777777" w:rsidR="006E0AD4" w:rsidRDefault="006E0AD4">
      <w:pPr>
        <w:rPr>
          <w:rFonts w:ascii="Arial" w:hAnsi="Arial" w:cs="Arial"/>
          <w:sz w:val="20"/>
        </w:rPr>
      </w:pPr>
    </w:p>
    <w:p w14:paraId="0AE0270D" w14:textId="77777777" w:rsidR="006E0AD4" w:rsidRDefault="000411CE">
      <w:pPr>
        <w:pStyle w:val="P68B1DB1-berschrift39"/>
        <w:spacing w:after="120"/>
      </w:pPr>
      <w:r>
        <w:t>Telaio a vista 110A</w:t>
      </w:r>
    </w:p>
    <w:p w14:paraId="5446E414" w14:textId="77777777" w:rsidR="006E0AD4" w:rsidRDefault="000411CE">
      <w:pPr>
        <w:pStyle w:val="P68B1DB1-Standard2"/>
        <w:spacing w:after="40"/>
      </w:pPr>
      <w:r>
        <w:t xml:space="preserve">Codice articolo (bianco): </w:t>
      </w:r>
      <w:r>
        <w:tab/>
      </w:r>
      <w:r>
        <w:tab/>
        <w:t>9070912 (telaio a vista AP 110A WH)</w:t>
      </w:r>
    </w:p>
    <w:p w14:paraId="3EA8C29C" w14:textId="77777777" w:rsidR="006E0AD4" w:rsidRDefault="000411CE">
      <w:pPr>
        <w:pStyle w:val="P68B1DB1-Standard2"/>
        <w:spacing w:after="40"/>
      </w:pPr>
      <w:r>
        <w:t xml:space="preserve">Codice articolo Grigio: </w:t>
      </w:r>
      <w:r>
        <w:tab/>
      </w:r>
      <w:r>
        <w:tab/>
        <w:t>9070913 (telaio a vista AP 110A GR)</w:t>
      </w:r>
    </w:p>
    <w:p w14:paraId="6B3EB15D" w14:textId="77777777" w:rsidR="006E0AD4" w:rsidRDefault="006E0AD4">
      <w:pPr>
        <w:rPr>
          <w:rFonts w:ascii="Arial" w:hAnsi="Arial" w:cs="Arial"/>
          <w:sz w:val="20"/>
        </w:rPr>
      </w:pPr>
    </w:p>
    <w:p w14:paraId="5F271CB1" w14:textId="77777777" w:rsidR="006E0AD4" w:rsidRDefault="006E0AD4">
      <w:pPr>
        <w:rPr>
          <w:rFonts w:ascii="Arial" w:hAnsi="Arial" w:cs="Arial"/>
          <w:sz w:val="20"/>
        </w:rPr>
      </w:pPr>
    </w:p>
    <w:p w14:paraId="7A849F51" w14:textId="77777777" w:rsidR="006E0AD4" w:rsidRDefault="000411CE">
      <w:pPr>
        <w:pStyle w:val="P68B1DB1-berschrift39"/>
        <w:spacing w:after="120"/>
      </w:pPr>
      <w:r>
        <w:t>Cornice di copertura Cover 110 GR</w:t>
      </w:r>
    </w:p>
    <w:p w14:paraId="4CE0F1A4" w14:textId="77777777" w:rsidR="006E0AD4" w:rsidRDefault="000411CE">
      <w:pPr>
        <w:pStyle w:val="P68B1DB1-Standard2"/>
        <w:spacing w:after="40"/>
      </w:pPr>
      <w:r>
        <w:t xml:space="preserve">Codice articolo Grigio: </w:t>
      </w:r>
      <w:r>
        <w:tab/>
      </w:r>
      <w:r>
        <w:tab/>
        <w:t>9070591</w:t>
      </w:r>
    </w:p>
    <w:p w14:paraId="6CA30D4C" w14:textId="77777777" w:rsidR="006E0AD4" w:rsidRDefault="006E0AD4">
      <w:pPr>
        <w:rPr>
          <w:rFonts w:ascii="Arial" w:hAnsi="Arial" w:cs="Arial"/>
          <w:sz w:val="20"/>
        </w:rPr>
      </w:pPr>
    </w:p>
    <w:p w14:paraId="46420BF4" w14:textId="77777777" w:rsidR="006E0AD4" w:rsidRDefault="006E0AD4">
      <w:pPr>
        <w:rPr>
          <w:rFonts w:ascii="Arial" w:hAnsi="Arial" w:cs="Arial"/>
          <w:sz w:val="20"/>
        </w:rPr>
      </w:pPr>
    </w:p>
    <w:p w14:paraId="6ED1667B" w14:textId="77777777" w:rsidR="006E0AD4" w:rsidRDefault="000411CE">
      <w:pPr>
        <w:pStyle w:val="P68B1DB1-berschrift39"/>
      </w:pPr>
      <w:r>
        <w:t>Scatola da incasso a soffitto 68A</w:t>
      </w:r>
    </w:p>
    <w:p w14:paraId="72556A87" w14:textId="77777777" w:rsidR="006E0AD4" w:rsidRDefault="000411CE">
      <w:pPr>
        <w:pStyle w:val="P68B1DB1-Standard10"/>
        <w:spacing w:after="120"/>
      </w:pPr>
      <w:r>
        <w:t>Diametro di foratura 68 mm</w:t>
      </w:r>
    </w:p>
    <w:p w14:paraId="51E4A1F8" w14:textId="77777777" w:rsidR="006E0AD4" w:rsidRDefault="000411CE">
      <w:pPr>
        <w:pStyle w:val="P68B1DB1-Standard2"/>
        <w:spacing w:after="40"/>
      </w:pPr>
      <w:r>
        <w:t xml:space="preserve">Codice articolo: </w:t>
      </w:r>
      <w:r>
        <w:tab/>
      </w:r>
      <w:r>
        <w:tab/>
      </w:r>
      <w:r>
        <w:tab/>
        <w:t>9070992</w:t>
      </w:r>
    </w:p>
    <w:p w14:paraId="4B269AB5" w14:textId="77777777" w:rsidR="006E0AD4" w:rsidRDefault="006E0AD4">
      <w:pPr>
        <w:rPr>
          <w:rFonts w:ascii="Arial" w:hAnsi="Arial" w:cs="Arial"/>
          <w:sz w:val="20"/>
        </w:rPr>
      </w:pPr>
    </w:p>
    <w:p w14:paraId="2309F603" w14:textId="77777777" w:rsidR="006E0AD4" w:rsidRDefault="006E0AD4">
      <w:pPr>
        <w:rPr>
          <w:rFonts w:ascii="Arial" w:hAnsi="Arial" w:cs="Arial"/>
          <w:sz w:val="20"/>
        </w:rPr>
      </w:pPr>
    </w:p>
    <w:p w14:paraId="502F85EA" w14:textId="77777777" w:rsidR="006E0AD4" w:rsidRDefault="000411CE">
      <w:pPr>
        <w:pStyle w:val="P68B1DB1-berschrift39"/>
      </w:pPr>
      <w:r>
        <w:t>Clip di copertura per limitazione dell’area</w:t>
      </w:r>
    </w:p>
    <w:p w14:paraId="4A313E05" w14:textId="77777777" w:rsidR="006E0AD4" w:rsidRDefault="000411CE">
      <w:pPr>
        <w:pStyle w:val="P68B1DB1-Standard10"/>
        <w:spacing w:after="120"/>
      </w:pPr>
      <w:r>
        <w:t>5 pezzi</w:t>
      </w:r>
    </w:p>
    <w:p w14:paraId="5E2521C0" w14:textId="77777777" w:rsidR="006E0AD4" w:rsidRDefault="000411CE">
      <w:pPr>
        <w:pStyle w:val="P68B1DB1-Standard2"/>
        <w:spacing w:after="40"/>
      </w:pPr>
      <w:r>
        <w:t xml:space="preserve">Codice articolo: </w:t>
      </w:r>
      <w:r>
        <w:tab/>
      </w:r>
      <w:r>
        <w:tab/>
      </w:r>
      <w:r>
        <w:tab/>
        <w:t>9070921</w:t>
      </w:r>
    </w:p>
    <w:p w14:paraId="518CBE15" w14:textId="77777777" w:rsidR="006E0AD4" w:rsidRDefault="006E0AD4">
      <w:pPr>
        <w:rPr>
          <w:rFonts w:ascii="Arial" w:hAnsi="Arial" w:cs="Arial"/>
          <w:sz w:val="20"/>
        </w:rPr>
      </w:pPr>
    </w:p>
    <w:p w14:paraId="1F6504B9" w14:textId="77777777" w:rsidR="006E0AD4" w:rsidRDefault="006E0AD4">
      <w:pPr>
        <w:rPr>
          <w:rFonts w:ascii="Arial" w:hAnsi="Arial" w:cs="Arial"/>
          <w:sz w:val="20"/>
        </w:rPr>
      </w:pPr>
    </w:p>
    <w:p w14:paraId="0172DF90" w14:textId="77777777" w:rsidR="006E0AD4" w:rsidRDefault="006E0AD4">
      <w:pPr>
        <w:rPr>
          <w:rFonts w:ascii="Arial" w:hAnsi="Arial" w:cs="Arial"/>
          <w:sz w:val="20"/>
        </w:rPr>
      </w:pPr>
    </w:p>
    <w:p w14:paraId="2EF74D30" w14:textId="77777777" w:rsidR="006E0AD4" w:rsidRDefault="006E0AD4">
      <w:pPr>
        <w:rPr>
          <w:rFonts w:ascii="Arial" w:hAnsi="Arial" w:cs="Arial"/>
          <w:b/>
          <w:sz w:val="20"/>
        </w:rPr>
      </w:pPr>
    </w:p>
    <w:p w14:paraId="6058F4EA" w14:textId="77777777" w:rsidR="006E0AD4" w:rsidRDefault="006E0AD4">
      <w:pPr>
        <w:rPr>
          <w:rFonts w:ascii="Arial" w:hAnsi="Arial" w:cs="Arial"/>
          <w:b/>
          <w:sz w:val="20"/>
        </w:rPr>
      </w:pPr>
    </w:p>
    <w:sectPr w:rsidR="006E0A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7A351C" w14:textId="77777777" w:rsidR="000411CE" w:rsidRDefault="000411CE">
      <w:r>
        <w:separator/>
      </w:r>
    </w:p>
  </w:endnote>
  <w:endnote w:type="continuationSeparator" w:id="0">
    <w:p w14:paraId="27D02A1B" w14:textId="77777777" w:rsidR="000411CE" w:rsidRDefault="00041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F88CFD" w14:textId="77777777" w:rsidR="006E0AD4" w:rsidRDefault="006E0A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0"/>
      <w:gridCol w:w="4685"/>
    </w:tblGrid>
    <w:tr w:rsidR="006E0AD4" w14:paraId="77BC6406" w14:textId="77777777">
      <w:tc>
        <w:tcPr>
          <w:tcW w:w="4747" w:type="dxa"/>
        </w:tcPr>
        <w:p w14:paraId="189AC40F" w14:textId="77777777" w:rsidR="006E0AD4" w:rsidRDefault="000411CE">
          <w:pPr>
            <w:pStyle w:val="P68B1DB1-Fuzeile11"/>
          </w:pPr>
          <w:r>
            <w:t>Con riserva di modifiche tecniche</w:t>
          </w:r>
        </w:p>
      </w:tc>
      <w:tc>
        <w:tcPr>
          <w:tcW w:w="4748" w:type="dxa"/>
        </w:tcPr>
        <w:p w14:paraId="046026C7" w14:textId="77777777" w:rsidR="006E0AD4" w:rsidRDefault="000411CE">
          <w:pPr>
            <w:pStyle w:val="P68B1DB1-Fuzeile11"/>
            <w:jc w:val="right"/>
          </w:pPr>
          <w:r>
            <w:t>07.2020</w:t>
          </w:r>
          <w:r>
            <w:sym w:font="Symbol" w:char="F0D3"/>
          </w:r>
          <w:r>
            <w:t>Theben AG</w:t>
          </w:r>
        </w:p>
      </w:tc>
    </w:tr>
  </w:tbl>
  <w:p w14:paraId="1156422D" w14:textId="77777777" w:rsidR="006E0AD4" w:rsidRDefault="000411CE">
    <w:pPr>
      <w:pStyle w:val="Fuzeile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4F5307" w14:textId="77777777" w:rsidR="006E0AD4" w:rsidRDefault="006E0A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957C1C" w14:textId="77777777" w:rsidR="000411CE" w:rsidRDefault="000411CE">
      <w:r>
        <w:separator/>
      </w:r>
    </w:p>
  </w:footnote>
  <w:footnote w:type="continuationSeparator" w:id="0">
    <w:p w14:paraId="42DE7926" w14:textId="77777777" w:rsidR="000411CE" w:rsidRDefault="00041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0B4D14" w14:textId="77777777" w:rsidR="006E0AD4" w:rsidRDefault="006E0A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3C3F65" w14:textId="77777777" w:rsidR="006E0AD4" w:rsidRDefault="006E0AD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C3C94C" w14:textId="77777777" w:rsidR="006E0AD4" w:rsidRDefault="006E0AD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3A22986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8B2112E"/>
    <w:multiLevelType w:val="hybridMultilevel"/>
    <w:tmpl w:val="F78EB9B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335A58"/>
    <w:multiLevelType w:val="hybridMultilevel"/>
    <w:tmpl w:val="73BC8F3C"/>
    <w:lvl w:ilvl="0" w:tplc="E76A6B9E">
      <w:start w:val="1"/>
      <w:numFmt w:val="bullet"/>
      <w:pStyle w:val="91Aufzhlung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324043001">
    <w:abstractNumId w:val="3"/>
  </w:num>
  <w:num w:numId="2" w16cid:durableId="813762828">
    <w:abstractNumId w:val="7"/>
  </w:num>
  <w:num w:numId="3" w16cid:durableId="2018846944">
    <w:abstractNumId w:val="2"/>
  </w:num>
  <w:num w:numId="4" w16cid:durableId="2120561358">
    <w:abstractNumId w:val="0"/>
  </w:num>
  <w:num w:numId="5" w16cid:durableId="1992905310">
    <w:abstractNumId w:val="5"/>
  </w:num>
  <w:num w:numId="6" w16cid:durableId="2100052730">
    <w:abstractNumId w:val="1"/>
  </w:num>
  <w:num w:numId="7" w16cid:durableId="1776629128">
    <w:abstractNumId w:val="4"/>
  </w:num>
  <w:num w:numId="8" w16cid:durableId="9203385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06C62"/>
    <w:rsid w:val="0002438E"/>
    <w:rsid w:val="000411CE"/>
    <w:rsid w:val="00044A8D"/>
    <w:rsid w:val="000550F8"/>
    <w:rsid w:val="00056DAA"/>
    <w:rsid w:val="00057747"/>
    <w:rsid w:val="000A49B0"/>
    <w:rsid w:val="000A7407"/>
    <w:rsid w:val="000B4392"/>
    <w:rsid w:val="000E3A05"/>
    <w:rsid w:val="0011221C"/>
    <w:rsid w:val="00136A01"/>
    <w:rsid w:val="0015700B"/>
    <w:rsid w:val="00167D65"/>
    <w:rsid w:val="00175559"/>
    <w:rsid w:val="0018253F"/>
    <w:rsid w:val="001954BB"/>
    <w:rsid w:val="00195A6B"/>
    <w:rsid w:val="001B798A"/>
    <w:rsid w:val="001C5AE6"/>
    <w:rsid w:val="001F011D"/>
    <w:rsid w:val="001F49C8"/>
    <w:rsid w:val="001F5BF1"/>
    <w:rsid w:val="00211654"/>
    <w:rsid w:val="00247AAA"/>
    <w:rsid w:val="00261E93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77426"/>
    <w:rsid w:val="00490FEC"/>
    <w:rsid w:val="004930BB"/>
    <w:rsid w:val="004A0FD2"/>
    <w:rsid w:val="004C07C4"/>
    <w:rsid w:val="004C2679"/>
    <w:rsid w:val="004C6BD9"/>
    <w:rsid w:val="004E2972"/>
    <w:rsid w:val="004F2EB4"/>
    <w:rsid w:val="004F6840"/>
    <w:rsid w:val="005116E4"/>
    <w:rsid w:val="00543AAD"/>
    <w:rsid w:val="0054422A"/>
    <w:rsid w:val="00557AA9"/>
    <w:rsid w:val="005A2231"/>
    <w:rsid w:val="005C5F2C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E0AD4"/>
    <w:rsid w:val="006E0D51"/>
    <w:rsid w:val="006F477C"/>
    <w:rsid w:val="006F4CAD"/>
    <w:rsid w:val="00714F55"/>
    <w:rsid w:val="00720339"/>
    <w:rsid w:val="007405A9"/>
    <w:rsid w:val="007752C7"/>
    <w:rsid w:val="00785FE4"/>
    <w:rsid w:val="00792DB9"/>
    <w:rsid w:val="007A1380"/>
    <w:rsid w:val="007A7A86"/>
    <w:rsid w:val="007B2E89"/>
    <w:rsid w:val="007C0ACE"/>
    <w:rsid w:val="007C7A20"/>
    <w:rsid w:val="007E2268"/>
    <w:rsid w:val="007F4E69"/>
    <w:rsid w:val="00852B22"/>
    <w:rsid w:val="00857B98"/>
    <w:rsid w:val="00872719"/>
    <w:rsid w:val="008E010F"/>
    <w:rsid w:val="009002CC"/>
    <w:rsid w:val="00906C41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D018C"/>
    <w:rsid w:val="009F01D0"/>
    <w:rsid w:val="009F6E61"/>
    <w:rsid w:val="00A0260F"/>
    <w:rsid w:val="00A32DB9"/>
    <w:rsid w:val="00A41B0E"/>
    <w:rsid w:val="00A47C97"/>
    <w:rsid w:val="00A651B8"/>
    <w:rsid w:val="00A72AEF"/>
    <w:rsid w:val="00A75E61"/>
    <w:rsid w:val="00A812B6"/>
    <w:rsid w:val="00A84CC0"/>
    <w:rsid w:val="00AA145C"/>
    <w:rsid w:val="00AA366B"/>
    <w:rsid w:val="00AB0222"/>
    <w:rsid w:val="00AB2128"/>
    <w:rsid w:val="00AB32AE"/>
    <w:rsid w:val="00AB4B97"/>
    <w:rsid w:val="00AB62EA"/>
    <w:rsid w:val="00AE1F10"/>
    <w:rsid w:val="00B1354B"/>
    <w:rsid w:val="00B31AC5"/>
    <w:rsid w:val="00B345A1"/>
    <w:rsid w:val="00B7621C"/>
    <w:rsid w:val="00BA42DF"/>
    <w:rsid w:val="00BB5493"/>
    <w:rsid w:val="00BE3809"/>
    <w:rsid w:val="00BE4339"/>
    <w:rsid w:val="00C001FA"/>
    <w:rsid w:val="00C01316"/>
    <w:rsid w:val="00C05DE7"/>
    <w:rsid w:val="00C1124C"/>
    <w:rsid w:val="00C203A0"/>
    <w:rsid w:val="00C32C49"/>
    <w:rsid w:val="00C43A40"/>
    <w:rsid w:val="00C52946"/>
    <w:rsid w:val="00C84303"/>
    <w:rsid w:val="00C8699D"/>
    <w:rsid w:val="00C874CB"/>
    <w:rsid w:val="00CA46A7"/>
    <w:rsid w:val="00CB1CD5"/>
    <w:rsid w:val="00CC6300"/>
    <w:rsid w:val="00CD4CB9"/>
    <w:rsid w:val="00CE0149"/>
    <w:rsid w:val="00CF20FB"/>
    <w:rsid w:val="00D00BF0"/>
    <w:rsid w:val="00D03C54"/>
    <w:rsid w:val="00D05F16"/>
    <w:rsid w:val="00D268C9"/>
    <w:rsid w:val="00D7757B"/>
    <w:rsid w:val="00D84889"/>
    <w:rsid w:val="00D91F8E"/>
    <w:rsid w:val="00D96261"/>
    <w:rsid w:val="00DA5A07"/>
    <w:rsid w:val="00DF4FE3"/>
    <w:rsid w:val="00E006DC"/>
    <w:rsid w:val="00E265B7"/>
    <w:rsid w:val="00E5779A"/>
    <w:rsid w:val="00E66107"/>
    <w:rsid w:val="00E769D5"/>
    <w:rsid w:val="00E86E40"/>
    <w:rsid w:val="00EA1E7A"/>
    <w:rsid w:val="00EB4AB1"/>
    <w:rsid w:val="00EC36C2"/>
    <w:rsid w:val="00EC68C5"/>
    <w:rsid w:val="00EF6F15"/>
    <w:rsid w:val="00F07E9A"/>
    <w:rsid w:val="00F21331"/>
    <w:rsid w:val="00F213AE"/>
    <w:rsid w:val="00F46753"/>
    <w:rsid w:val="00F50BD0"/>
    <w:rsid w:val="00F55BBA"/>
    <w:rsid w:val="00F74F3C"/>
    <w:rsid w:val="00FB2CEC"/>
    <w:rsid w:val="00FC09A6"/>
    <w:rsid w:val="00FD193C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6CAECA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  <w:style w:type="paragraph" w:customStyle="1" w:styleId="91Aufzhlung">
    <w:name w:val="91_Aufzählung"/>
    <w:basedOn w:val="Standard"/>
    <w:rsid w:val="00A32DB9"/>
    <w:pPr>
      <w:numPr>
        <w:numId w:val="8"/>
      </w:numPr>
      <w:overflowPunct/>
      <w:autoSpaceDE/>
      <w:autoSpaceDN/>
      <w:adjustRightInd/>
      <w:spacing w:before="120" w:after="120" w:line="300" w:lineRule="atLeast"/>
      <w:textAlignment w:val="auto"/>
    </w:pPr>
    <w:rPr>
      <w:rFonts w:ascii="Netto Offc Pro" w:hAnsi="Netto Offc Pro"/>
      <w:sz w:val="20"/>
      <w:szCs w:val="24"/>
    </w:rPr>
  </w:style>
  <w:style w:type="paragraph" w:customStyle="1" w:styleId="P68B1DB1-berschrift11">
    <w:name w:val="P68B1DB1-berschrift11"/>
    <w:basedOn w:val="berschrift1"/>
    <w:rPr>
      <w:rFonts w:ascii="Arial" w:hAnsi="Arial" w:cs="Arial"/>
    </w:rPr>
  </w:style>
  <w:style w:type="paragraph" w:customStyle="1" w:styleId="P68B1DB1-Standard2">
    <w:name w:val="P68B1DB1-Standard2"/>
    <w:basedOn w:val="Standard"/>
    <w:rPr>
      <w:rFonts w:ascii="Arial" w:hAnsi="Arial" w:cs="Arial"/>
      <w:b/>
      <w:sz w:val="20"/>
    </w:rPr>
  </w:style>
  <w:style w:type="paragraph" w:customStyle="1" w:styleId="P68B1DB1-Aufzhlung3">
    <w:name w:val="P68B1DB1-Aufzhlung3"/>
    <w:basedOn w:val="Aufzhlung"/>
    <w:rPr>
      <w:rFonts w:ascii="Arial" w:hAnsi="Arial" w:cs="Arial"/>
      <w:u w:val="single"/>
    </w:rPr>
  </w:style>
  <w:style w:type="paragraph" w:customStyle="1" w:styleId="P68B1DB1-Aufzhlung4">
    <w:name w:val="P68B1DB1-Aufzhlung4"/>
    <w:basedOn w:val="Aufzhlung"/>
    <w:rPr>
      <w:rFonts w:ascii="Arial" w:hAnsi="Arial" w:cs="Arial"/>
    </w:rPr>
  </w:style>
  <w:style w:type="paragraph" w:customStyle="1" w:styleId="P68B1DB1-Aufzhlung5">
    <w:name w:val="P68B1DB1-Aufzhlung5"/>
    <w:basedOn w:val="Aufzhlung"/>
    <w:rPr>
      <w:rFonts w:ascii="Arial" w:hAnsi="Arial" w:cs="Arial"/>
      <w:b/>
    </w:rPr>
  </w:style>
  <w:style w:type="paragraph" w:customStyle="1" w:styleId="P68B1DB1-91Aufzhlung6">
    <w:name w:val="P68B1DB1-91Aufzhlung6"/>
    <w:basedOn w:val="91Aufzhlung"/>
    <w:rPr>
      <w:rFonts w:ascii="Arial" w:hAnsi="Arial" w:cs="Arial"/>
      <w:color w:val="000000"/>
      <w:szCs w:val="20"/>
    </w:rPr>
  </w:style>
  <w:style w:type="paragraph" w:customStyle="1" w:styleId="P68B1DB1-Aufzhlung7">
    <w:name w:val="P68B1DB1-Aufzhlung7"/>
    <w:basedOn w:val="Aufzhlung"/>
    <w:rPr>
      <w:rFonts w:ascii="Arial" w:hAnsi="Arial" w:cs="Arial"/>
      <w:spacing w:val="-3"/>
      <w:u w:val="single"/>
    </w:rPr>
  </w:style>
  <w:style w:type="paragraph" w:customStyle="1" w:styleId="P68B1DB1-Aufzhlung8">
    <w:name w:val="P68B1DB1-Aufzhlung8"/>
    <w:basedOn w:val="Aufzhlung"/>
    <w:rPr>
      <w:rFonts w:ascii="Arial" w:hAnsi="Arial" w:cs="Arial"/>
      <w:spacing w:val="-3"/>
    </w:rPr>
  </w:style>
  <w:style w:type="paragraph" w:customStyle="1" w:styleId="P68B1DB1-berschrift39">
    <w:name w:val="P68B1DB1-berschrift39"/>
    <w:basedOn w:val="berschrift3"/>
    <w:rPr>
      <w:rFonts w:ascii="Arial" w:hAnsi="Arial" w:cs="Arial"/>
      <w:sz w:val="20"/>
    </w:rPr>
  </w:style>
  <w:style w:type="paragraph" w:customStyle="1" w:styleId="P68B1DB1-Standard10">
    <w:name w:val="P68B1DB1-Standard10"/>
    <w:basedOn w:val="Standard"/>
    <w:rPr>
      <w:rFonts w:ascii="Arial" w:hAnsi="Arial" w:cs="Arial"/>
      <w:sz w:val="20"/>
    </w:rPr>
  </w:style>
  <w:style w:type="paragraph" w:customStyle="1" w:styleId="P68B1DB1-Fuzeile11">
    <w:name w:val="P68B1DB1-Fuzeile11"/>
    <w:basedOn w:val="Fuzeile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78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7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411</Words>
  <Characters>2592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2026-10-16T13:17:00Z</dcterms:created>
  <dcterms:modified xsi:type="dcterms:W3CDTF">2026-10-16T13:17:00Z</dcterms:modified>
</cp:coreProperties>
</file>