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E44B7" w:rsidRPr="00EA3D67" w:rsidRDefault="00EE44B7" w:rsidP="00EE44B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Attuatore di commutazione KNX a 4 canali, apparecchio di ampliamento (RME 4 I KNX)</w:t>
      </w:r>
    </w:p>
    <w:p w:rsidR="00EE44B7" w:rsidRPr="00EA3D67" w:rsidRDefault="00EE44B7" w:rsidP="00EE44B7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6974CC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Attuatore di commutazione KNX a 4 canali, modulo di ampliamento, carico C con uscite relè per 4 canali di commutazione; possibilità di ampliamento con RME 4I fino a 12 canali; alloggiamento per installazione in serie; larghezza 72 mm; indicazione stato di commutazione a LED per ogni canale; interruttore manuale con indicazione dello stato (anche senza tensione bus); </w:t>
      </w:r>
    </w:p>
    <w:p w:rsidR="006974CC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funzioni: commutazione, commutazione ritardata, funzione ad impulso; collegamenti, tipo di contatto (di apertura/chiusura) e partecipazione a comandi centrali come ON permanente, OFF permanente, inserimento centralizzato e memorizzazione/richiamo scena; funzioni di commutazione: ON/OFF, impulso, ritardo ON/OFF, luce scale con preavviso secondo DIN 18015-2; collegamenti logici: bloccaggio, AND, sbloccaggio, OR; caratteristiche: comportamento regolabile in caso di guasto del bus e ritorno del bus o della rete, oggetto di indicazione di stato per ogni canale, oggetti centralizzati con e senza priorità, richiamo e memorizzazione di scene (oggetto); </w:t>
      </w:r>
    </w:p>
    <w:p w:rsidR="006974CC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ogni canale riceve un proprio oggetto di scena; </w:t>
      </w:r>
    </w:p>
    <w:p w:rsidR="00EE44B7" w:rsidRPr="00EA3D67" w:rsidRDefault="006974CC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EE44B7">
        <w:rPr>
          <w:rFonts w:ascii="Arial" w:hAnsi="Arial" w:cs="Arial"/>
          <w:sz w:val="20"/>
          <w:szCs w:val="20"/>
        </w:rPr>
        <w:t xml:space="preserve">otenza di commutazione: 16A/250V~; cos phi= 0,6 </w:t>
      </w:r>
    </w:p>
    <w:p w:rsidR="00EE44B7" w:rsidRPr="00EA3D6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6974CC">
        <w:rPr>
          <w:rFonts w:ascii="Arial" w:hAnsi="Arial" w:cs="Arial"/>
          <w:sz w:val="20"/>
          <w:szCs w:val="20"/>
        </w:rPr>
        <w:t>RMG 4 I KNX</w:t>
      </w: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6974CC">
        <w:rPr>
          <w:rFonts w:ascii="Arial" w:hAnsi="Arial" w:cs="Arial"/>
          <w:sz w:val="20"/>
          <w:szCs w:val="20"/>
        </w:rPr>
        <w:t>4930215</w:t>
      </w:r>
    </w:p>
    <w:p w:rsidR="00EE44B7" w:rsidRDefault="00EE44B7" w:rsidP="00EE44B7">
      <w:pPr>
        <w:rPr>
          <w:rFonts w:ascii="Arial" w:hAnsi="Arial" w:cs="Arial"/>
          <w:b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  <w:bookmarkStart w:id="0" w:name="Default_Applikation"/>
      <w:bookmarkStart w:id="1" w:name="_Hlt37052784"/>
      <w:bookmarkStart w:id="2" w:name="_Bedienung_1"/>
      <w:bookmarkStart w:id="3" w:name="_Hlt102471035"/>
      <w:bookmarkStart w:id="4" w:name="_Hlt40064026"/>
      <w:bookmarkStart w:id="5" w:name="_Hlt44126256"/>
      <w:bookmarkStart w:id="6" w:name="_Hlt44150250"/>
      <w:bookmarkStart w:id="7" w:name="Objekt_2"/>
      <w:bookmarkStart w:id="8" w:name="Objekt_3"/>
      <w:bookmarkStart w:id="9" w:name="_Einstellungen"/>
      <w:bookmarkStart w:id="10" w:name="_Die_Funktion_„Schalter_/ Taster“_1"/>
      <w:bookmarkStart w:id="11" w:name="_Kopierfunktion"/>
      <w:bookmarkStart w:id="12" w:name="_Die_Szenen"/>
      <w:bookmarkStart w:id="13" w:name="_Prioritätsrangfolge_Antriebssteueru"/>
      <w:bookmarkStart w:id="14" w:name="_Rückmeldung_der_Antriebshöhen-_und 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</w:p>
    <w:p w:rsidR="00EE44B7" w:rsidRDefault="00EE44B7" w:rsidP="00EE44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p w:rsidR="00EE44B7" w:rsidRDefault="00EE44B7">
      <w:pPr>
        <w:rPr>
          <w:rFonts w:ascii="Arial" w:hAnsi="Arial" w:cs="Arial"/>
          <w:sz w:val="20"/>
          <w:szCs w:val="20"/>
        </w:rPr>
      </w:pPr>
    </w:p>
    <w:sectPr w:rsidR="00EE44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56949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6974CC"/>
    <w:rsid w:val="00EE44B7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0209C-2845-4746-91C0-6265D98D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1211</Characters>
  <Application>Microsoft Office Word</Application>
  <DocSecurity>4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2026-10-16T12:01:00Z</dcterms:created>
  <dcterms:modified xsi:type="dcterms:W3CDTF">2026-10-16T12:01:00Z</dcterms:modified>
</cp:coreProperties>
</file>