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013DAC" w:rsidRDefault="00034BCA" w:rsidP="00034BCA">
      <w:pPr>
        <w:pStyle w:val="berschrift1"/>
        <w:spacing w:after="240"/>
        <w:rPr>
          <w:lang w:val="en-US"/>
        </w:rPr>
      </w:pPr>
      <w:r>
        <w:rPr>
          <w:rFonts w:cs="Frutiger LT Com 45 Light"/>
          <w:bCs/>
          <w:szCs w:val="28"/>
          <w:lang w:val="it-IT"/>
        </w:rPr>
        <w:t>Testo d'appalto per sensori di movimento</w:t>
      </w:r>
    </w:p>
    <w:p w:rsidR="00D00BF0" w:rsidRPr="00013DAC" w:rsidRDefault="00034BCA" w:rsidP="00034BCA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Sensore di movimento theMova P360-100 UP WH / GR</w:t>
      </w:r>
    </w:p>
    <w:p w:rsidR="00A651B8" w:rsidRPr="00013DAC" w:rsidRDefault="00034BCA" w:rsidP="00034BCA">
      <w:pPr>
        <w:pStyle w:val="Aufzhlung"/>
        <w:ind w:left="0" w:firstLine="0"/>
        <w:rPr>
          <w:rFonts w:ascii="Arial" w:hAnsi="Arial" w:cs="Arial"/>
          <w:lang w:val="en-US"/>
        </w:rPr>
      </w:pPr>
      <w:r w:rsidRPr="00034BCA">
        <w:rPr>
          <w:rFonts w:ascii="Arial" w:hAnsi="Arial" w:cs="Arial"/>
          <w:lang w:val="it-IT"/>
        </w:rPr>
        <w:t xml:space="preserve">Sensore di movimento a infrarossi passivi per montaggio a soffitto; comando automatico in funzione del movimento e della luminosità per l'illuminazione; range di </w:t>
      </w:r>
      <w:r w:rsidR="00013DAC">
        <w:rPr>
          <w:rFonts w:ascii="Arial" w:hAnsi="Arial" w:cs="Arial"/>
          <w:lang w:val="it-IT"/>
        </w:rPr>
        <w:t>rivela</w:t>
      </w:r>
      <w:r w:rsidRPr="00034BCA">
        <w:rPr>
          <w:rFonts w:ascii="Arial" w:hAnsi="Arial" w:cs="Arial"/>
          <w:lang w:val="it-IT"/>
        </w:rPr>
        <w:t>mento rotondo 360°, in movimento fino a 452 m</w:t>
      </w:r>
      <w:r w:rsidRPr="00034BCA">
        <w:rPr>
          <w:rFonts w:ascii="Arial" w:hAnsi="Arial" w:cs="Arial"/>
          <w:vertAlign w:val="superscript"/>
          <w:lang w:val="it-IT"/>
        </w:rPr>
        <w:t>2</w:t>
      </w:r>
      <w:r w:rsidRPr="00034BCA">
        <w:rPr>
          <w:rFonts w:ascii="Arial" w:hAnsi="Arial" w:cs="Arial"/>
          <w:lang w:val="it-IT"/>
        </w:rPr>
        <w:t xml:space="preserve"> (Ø 24 m), altezza di montaggio fino a 10 m, limitazione del range con clip di copertura (opzionali); </w:t>
      </w:r>
    </w:p>
    <w:p w:rsidR="00925F64" w:rsidRPr="00013DAC" w:rsidRDefault="00034BCA" w:rsidP="00034BCA">
      <w:pPr>
        <w:pStyle w:val="Aufzhlung"/>
        <w:ind w:left="0" w:firstLine="0"/>
        <w:rPr>
          <w:rFonts w:ascii="Arial" w:hAnsi="Arial" w:cs="Arial"/>
          <w:lang w:val="en-US"/>
        </w:rPr>
      </w:pPr>
      <w:r w:rsidRPr="00034BCA">
        <w:rPr>
          <w:rFonts w:ascii="Arial" w:hAnsi="Arial" w:cs="Arial"/>
          <w:lang w:val="it-IT"/>
        </w:rPr>
        <w:t>Misurazione in luce mista adatta per lampade fluorescenti (FL/PL/ESL), lampade alogene e a incandescenza e LED;</w:t>
      </w:r>
    </w:p>
    <w:p w:rsidR="00E769D5" w:rsidRPr="00013DAC" w:rsidRDefault="00034BCA" w:rsidP="00034BCA">
      <w:pPr>
        <w:pStyle w:val="Aufzhlung"/>
        <w:ind w:left="0" w:firstLine="0"/>
        <w:rPr>
          <w:rFonts w:ascii="Arial" w:hAnsi="Arial" w:cs="Arial"/>
          <w:lang w:val="en-US"/>
        </w:rPr>
      </w:pPr>
      <w:r w:rsidRPr="00034BCA">
        <w:rPr>
          <w:rFonts w:ascii="Arial" w:hAnsi="Arial" w:cs="Arial"/>
          <w:spacing w:val="-3"/>
          <w:lang w:val="it-IT"/>
        </w:rPr>
        <w:t xml:space="preserve">Tensione d'esercizio 110 - 230 V AC / 50 - 60 Hz; </w:t>
      </w:r>
      <w:r w:rsidRPr="00034BCA">
        <w:rPr>
          <w:rFonts w:ascii="Arial" w:hAnsi="Arial" w:cs="Arial"/>
          <w:lang w:val="it-IT"/>
        </w:rPr>
        <w:t>autoconsumo</w:t>
      </w:r>
      <w:r w:rsidRPr="00034BCA">
        <w:rPr>
          <w:rFonts w:ascii="Arial" w:hAnsi="Arial" w:cs="Arial"/>
          <w:spacing w:val="-3"/>
          <w:lang w:val="it-IT"/>
        </w:rPr>
        <w:t xml:space="preserve"> ca. 0.1 W, </w:t>
      </w:r>
      <w:r w:rsidRPr="00034BCA">
        <w:rPr>
          <w:rFonts w:ascii="Arial" w:hAnsi="Arial" w:cs="Arial"/>
          <w:lang w:val="it-IT"/>
        </w:rPr>
        <w:t>tipo di protezione IP 20, da montato IP 40; temperatura d'esercizio da -15° C a +50° C;</w:t>
      </w:r>
    </w:p>
    <w:p w:rsidR="00604C66" w:rsidRPr="00013DAC" w:rsidRDefault="00034BCA" w:rsidP="00034BC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034BCA">
        <w:rPr>
          <w:rFonts w:ascii="Arial" w:hAnsi="Arial" w:cs="Arial"/>
          <w:lang w:val="it-IT"/>
        </w:rPr>
        <w:t xml:space="preserve">Canale A luce: relè, 1 contatto normalmente aperto 230 V / 10 A, 2300 W o 1150 VA (cos </w:t>
      </w:r>
      <w:r w:rsidRPr="00034BCA">
        <w:rPr>
          <w:rFonts w:ascii="Calibri" w:hAnsi="Calibri" w:cs="Calibri"/>
          <w:lang w:val="it-IT"/>
        </w:rPr>
        <w:t>ϕ</w:t>
      </w:r>
      <w:r w:rsidRPr="00034BCA">
        <w:rPr>
          <w:rFonts w:ascii="Arial" w:hAnsi="Arial" w:cs="Arial"/>
          <w:lang w:val="it-IT"/>
        </w:rPr>
        <w:t xml:space="preserve"> = 0.5); funzionamento completamente automatico; valore di commutazione luminosità impostabile ca. 30 – 3000 Lux, funzione Teach-In; tempo di coda 10 s – 60 min; funzione ad impulso per temporizzatore luci scale;</w:t>
      </w:r>
    </w:p>
    <w:p w:rsidR="00604C66" w:rsidRPr="00013DAC" w:rsidRDefault="00034BCA" w:rsidP="00034BCA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034BCA">
        <w:rPr>
          <w:rFonts w:ascii="Arial" w:hAnsi="Arial" w:cs="Arial"/>
          <w:lang w:val="it-IT"/>
        </w:rPr>
        <w:t xml:space="preserve">Sensibilità regolabile; immediatamente pronto per l’uso grazie alla preimpostazione di fabbrica; parametrizzabile a distanza con il telecomando; modalità di test per il controllo della funzione e del range di </w:t>
      </w:r>
      <w:r w:rsidR="00013DAC">
        <w:rPr>
          <w:rFonts w:ascii="Arial" w:hAnsi="Arial" w:cs="Arial"/>
          <w:lang w:val="it-IT"/>
        </w:rPr>
        <w:t>rivela</w:t>
      </w:r>
      <w:r w:rsidRPr="00034BCA">
        <w:rPr>
          <w:rFonts w:ascii="Arial" w:hAnsi="Arial" w:cs="Arial"/>
          <w:lang w:val="it-IT"/>
        </w:rPr>
        <w:t>mento;</w:t>
      </w:r>
    </w:p>
    <w:p w:rsidR="002C6314" w:rsidRPr="00013DAC" w:rsidRDefault="00034BCA" w:rsidP="00034BCA">
      <w:pPr>
        <w:pStyle w:val="Aufzhlung"/>
        <w:ind w:left="0" w:firstLine="0"/>
        <w:rPr>
          <w:rFonts w:ascii="Arial" w:hAnsi="Arial" w:cs="Arial"/>
          <w:lang w:val="en-US"/>
        </w:rPr>
      </w:pPr>
      <w:r w:rsidRPr="00034BCA">
        <w:rPr>
          <w:rFonts w:ascii="Arial" w:hAnsi="Arial" w:cs="Arial"/>
          <w:lang w:val="it-IT"/>
        </w:rPr>
        <w:t>Profondità d'incasso 37 mm, montaggio a soffitto in scatola ad incasso dim. 1 o scatola di giunzione per soffitti 73A, montaggio a soffitto possibile con telaio a vista 110A tipo di protezione IP 44;</w:t>
      </w:r>
    </w:p>
    <w:p w:rsidR="004F2EB4" w:rsidRPr="00013DAC" w:rsidRDefault="004F2EB4" w:rsidP="00AB4B97">
      <w:pPr>
        <w:spacing w:after="240"/>
        <w:rPr>
          <w:rFonts w:ascii="Arial" w:hAnsi="Arial" w:cs="Arial"/>
          <w:sz w:val="20"/>
          <w:lang w:val="en-US"/>
        </w:rPr>
      </w:pPr>
    </w:p>
    <w:p w:rsidR="004E2972" w:rsidRPr="00960F5D" w:rsidRDefault="00034BCA" w:rsidP="00034BCA">
      <w:pPr>
        <w:spacing w:after="240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Prodotto: ThebenHTS</w:t>
      </w:r>
    </w:p>
    <w:p w:rsidR="004E2972" w:rsidRPr="003327EE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Tipo: theMova P360-100 UP..</w:t>
      </w:r>
    </w:p>
    <w:p w:rsidR="004E2972" w:rsidRPr="003327EE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N. d'ordine: 1030600 (theMova P360-100 UP WH, bianco)</w:t>
      </w:r>
    </w:p>
    <w:p w:rsidR="00A41B0E" w:rsidRPr="003327EE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ab/>
        <w:t xml:space="preserve">      1030601 (theMova P360-100 UP GR, grigio)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013DAC" w:rsidRDefault="00034BCA" w:rsidP="00034BCA">
      <w:pPr>
        <w:rPr>
          <w:rFonts w:ascii="Arial" w:hAnsi="Arial" w:cs="Arial"/>
          <w:b/>
          <w:sz w:val="20"/>
          <w:lang w:val="en-US"/>
        </w:rPr>
      </w:pPr>
      <w:r w:rsidRPr="00034BCA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013DAC" w:rsidRDefault="004C07C4" w:rsidP="004E2972">
      <w:pPr>
        <w:rPr>
          <w:rFonts w:ascii="Arial" w:hAnsi="Arial" w:cs="Arial"/>
          <w:sz w:val="20"/>
          <w:lang w:val="en-US"/>
        </w:rPr>
      </w:pPr>
    </w:p>
    <w:p w:rsidR="004E2972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Accessori</w:t>
      </w:r>
    </w:p>
    <w:p w:rsidR="00643324" w:rsidRPr="00013DAC" w:rsidRDefault="00643324" w:rsidP="00643324">
      <w:pPr>
        <w:rPr>
          <w:rFonts w:ascii="Arial" w:hAnsi="Arial" w:cs="Arial"/>
          <w:b/>
          <w:sz w:val="20"/>
          <w:lang w:val="en-US"/>
        </w:rPr>
      </w:pPr>
    </w:p>
    <w:p w:rsidR="004E2972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Opzionale</w:t>
      </w:r>
    </w:p>
    <w:p w:rsidR="004C07C4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 xml:space="preserve">Guida testuale per l'operatore sul display. Possibilità di trasmissione di singoli valori di regolazione o di interi set di parametri al </w:t>
      </w:r>
      <w:r w:rsidR="00013DAC">
        <w:rPr>
          <w:rFonts w:ascii="Arial" w:hAnsi="Arial" w:cs="Arial"/>
          <w:sz w:val="20"/>
          <w:lang w:val="it-IT"/>
        </w:rPr>
        <w:t>rivela</w:t>
      </w:r>
      <w:r w:rsidRPr="00034BCA">
        <w:rPr>
          <w:rFonts w:ascii="Arial" w:hAnsi="Arial" w:cs="Arial"/>
          <w:sz w:val="20"/>
          <w:lang w:val="it-IT"/>
        </w:rPr>
        <w:t xml:space="preserve">tore. Adatto a tutti i </w:t>
      </w:r>
      <w:r w:rsidR="00013DAC">
        <w:rPr>
          <w:rFonts w:ascii="Arial" w:hAnsi="Arial" w:cs="Arial"/>
          <w:sz w:val="20"/>
          <w:lang w:val="it-IT"/>
        </w:rPr>
        <w:t>rivela</w:t>
      </w:r>
      <w:r w:rsidRPr="00034BCA">
        <w:rPr>
          <w:rFonts w:ascii="Arial" w:hAnsi="Arial" w:cs="Arial"/>
          <w:sz w:val="20"/>
          <w:lang w:val="it-IT"/>
        </w:rPr>
        <w:t>tori di presenza ThebenHTS impostabili a distanza.</w:t>
      </w:r>
    </w:p>
    <w:p w:rsidR="004E2972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N. d'ordine: 9070675</w:t>
      </w:r>
    </w:p>
    <w:p w:rsidR="004E2972" w:rsidRPr="00013DAC" w:rsidRDefault="004E2972" w:rsidP="004E2972">
      <w:pPr>
        <w:rPr>
          <w:rFonts w:ascii="Arial" w:hAnsi="Arial" w:cs="Arial"/>
          <w:sz w:val="20"/>
          <w:lang w:val="en-US"/>
        </w:rPr>
      </w:pPr>
    </w:p>
    <w:p w:rsidR="00922419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Telecomando di assistenza "theSenda P"</w:t>
      </w:r>
    </w:p>
    <w:p w:rsidR="00922419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Opzionale</w:t>
      </w:r>
    </w:p>
    <w:p w:rsidR="00922419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N. d'ordine: 9070910</w:t>
      </w:r>
    </w:p>
    <w:p w:rsidR="00922419" w:rsidRPr="00013DAC" w:rsidRDefault="00922419" w:rsidP="004E2972">
      <w:pPr>
        <w:rPr>
          <w:rFonts w:ascii="Arial" w:hAnsi="Arial" w:cs="Arial"/>
          <w:sz w:val="20"/>
          <w:lang w:val="en-US"/>
        </w:rPr>
      </w:pPr>
    </w:p>
    <w:p w:rsidR="004E2972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Telecomando utente "theSenda S"</w:t>
      </w:r>
    </w:p>
    <w:p w:rsidR="004E2972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Opzionale</w:t>
      </w:r>
    </w:p>
    <w:p w:rsidR="00557AA9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N. d'ordine: 9070911</w:t>
      </w:r>
    </w:p>
    <w:p w:rsidR="00C43A40" w:rsidRPr="00013DAC" w:rsidRDefault="00C43A40" w:rsidP="00C43A40">
      <w:pPr>
        <w:rPr>
          <w:rFonts w:ascii="Arial" w:hAnsi="Arial" w:cs="Arial"/>
          <w:sz w:val="20"/>
          <w:lang w:val="en-US"/>
        </w:rPr>
      </w:pPr>
    </w:p>
    <w:p w:rsidR="00C43A40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Telaio a vista 110A WH</w:t>
      </w:r>
    </w:p>
    <w:p w:rsidR="00C43A40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Opzionale</w:t>
      </w:r>
    </w:p>
    <w:p w:rsidR="00C43A40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N. d'ordine: 9070912</w:t>
      </w:r>
    </w:p>
    <w:p w:rsidR="00C43A40" w:rsidRPr="00013DAC" w:rsidRDefault="00C43A40" w:rsidP="00C43A40">
      <w:pPr>
        <w:rPr>
          <w:rFonts w:ascii="Arial" w:hAnsi="Arial" w:cs="Arial"/>
          <w:sz w:val="20"/>
          <w:lang w:val="en-US"/>
        </w:rPr>
      </w:pPr>
    </w:p>
    <w:p w:rsidR="00D739CD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Telaio a vista 110A GR</w:t>
      </w:r>
    </w:p>
    <w:p w:rsidR="00D739CD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Opzionale</w:t>
      </w:r>
    </w:p>
    <w:p w:rsidR="00D739CD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N. d'ordine: 9070913</w:t>
      </w:r>
    </w:p>
    <w:p w:rsidR="00D739CD" w:rsidRPr="00013DAC" w:rsidRDefault="00D739CD" w:rsidP="00C43A40">
      <w:pPr>
        <w:rPr>
          <w:rFonts w:ascii="Arial" w:hAnsi="Arial" w:cs="Arial"/>
          <w:sz w:val="20"/>
          <w:lang w:val="en-US"/>
        </w:rPr>
      </w:pPr>
    </w:p>
    <w:p w:rsidR="00C43A40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Scatola di giunzione per soffitti 73A</w:t>
      </w:r>
    </w:p>
    <w:p w:rsidR="00C43A40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Opzionale</w:t>
      </w:r>
    </w:p>
    <w:p w:rsidR="00C43A40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lastRenderedPageBreak/>
        <w:t>Diametro foro 73 mm</w:t>
      </w:r>
    </w:p>
    <w:p w:rsidR="00C43A40" w:rsidRPr="00013DAC" w:rsidRDefault="00034BCA" w:rsidP="00034BCA">
      <w:pPr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sz w:val="20"/>
          <w:lang w:val="it-IT"/>
        </w:rPr>
        <w:t>N. d'ordine: 9070917</w:t>
      </w:r>
    </w:p>
    <w:p w:rsidR="00C43A40" w:rsidRPr="00013DAC" w:rsidRDefault="00C43A40" w:rsidP="00C43A40">
      <w:pPr>
        <w:rPr>
          <w:rFonts w:ascii="Arial" w:hAnsi="Arial" w:cs="Arial"/>
          <w:sz w:val="20"/>
          <w:lang w:val="en-US"/>
        </w:rPr>
      </w:pPr>
    </w:p>
    <w:p w:rsidR="00D739CD" w:rsidRPr="00013DAC" w:rsidRDefault="00034BCA" w:rsidP="00034BCA">
      <w:pPr>
        <w:pStyle w:val="berschrift3"/>
        <w:rPr>
          <w:rFonts w:ascii="Arial" w:hAnsi="Arial" w:cs="Arial"/>
          <w:sz w:val="20"/>
          <w:lang w:val="en-US"/>
        </w:rPr>
      </w:pPr>
      <w:r w:rsidRPr="00034BCA">
        <w:rPr>
          <w:rFonts w:ascii="Arial" w:hAnsi="Arial" w:cs="Arial"/>
          <w:bCs/>
          <w:sz w:val="20"/>
          <w:lang w:val="it-IT"/>
        </w:rPr>
        <w:t>Clip di copertura per limitazione del range</w:t>
      </w:r>
    </w:p>
    <w:p w:rsidR="00D739CD" w:rsidRPr="003327EE" w:rsidRDefault="00034BCA" w:rsidP="00034BCA">
      <w:pPr>
        <w:rPr>
          <w:rFonts w:ascii="Arial" w:hAnsi="Arial" w:cs="Arial"/>
          <w:sz w:val="20"/>
        </w:rPr>
      </w:pPr>
      <w:r w:rsidRPr="00034BCA">
        <w:rPr>
          <w:rFonts w:ascii="Arial" w:hAnsi="Arial" w:cs="Arial"/>
          <w:sz w:val="20"/>
          <w:lang w:val="it-IT"/>
        </w:rPr>
        <w:t>Opzionale</w:t>
      </w:r>
    </w:p>
    <w:p w:rsidR="00D739CD" w:rsidRPr="003327EE" w:rsidRDefault="00034BCA" w:rsidP="00034BCA">
      <w:pPr>
        <w:rPr>
          <w:rFonts w:ascii="Arial" w:hAnsi="Arial" w:cs="Arial"/>
          <w:sz w:val="20"/>
        </w:rPr>
      </w:pPr>
      <w:r w:rsidRPr="00034BCA">
        <w:rPr>
          <w:rFonts w:ascii="Arial" w:hAnsi="Arial" w:cs="Arial"/>
          <w:sz w:val="20"/>
          <w:lang w:val="it-IT"/>
        </w:rPr>
        <w:t>N. d'ordine: 9070921</w:t>
      </w:r>
    </w:p>
    <w:p w:rsidR="00D739CD" w:rsidRPr="003327EE" w:rsidRDefault="00D739CD" w:rsidP="00C43A40">
      <w:pPr>
        <w:rPr>
          <w:rFonts w:ascii="Arial" w:hAnsi="Arial" w:cs="Arial"/>
          <w:sz w:val="20"/>
        </w:rPr>
      </w:pPr>
    </w:p>
    <w:sectPr w:rsidR="00D739CD" w:rsidRPr="003327EE" w:rsidSect="00034B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70A8D" w:rsidRDefault="00570A8D">
      <w:r>
        <w:separator/>
      </w:r>
    </w:p>
  </w:endnote>
  <w:endnote w:type="continuationSeparator" w:id="0">
    <w:p w:rsidR="00570A8D" w:rsidRDefault="00570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83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034BCA" w:rsidRDefault="00034BC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739CD" w:rsidTr="00034BCA">
      <w:tc>
        <w:tcPr>
          <w:tcW w:w="4747" w:type="dxa"/>
        </w:tcPr>
        <w:p w:rsidR="00D739CD" w:rsidRDefault="00034BCA" w:rsidP="00034BCA">
          <w:pPr>
            <w:pStyle w:val="Fuzeile"/>
          </w:pPr>
          <w:r>
            <w:rPr>
              <w:rFonts w:cs="Frutiger LT Com 45 Light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D739CD" w:rsidRDefault="00034BCA" w:rsidP="00034BCA">
          <w:pPr>
            <w:pStyle w:val="Fuzeile"/>
            <w:jc w:val="right"/>
          </w:pPr>
          <w:r>
            <w:rPr>
              <w:rFonts w:cs="Frutiger LT Com 45 Light"/>
              <w:lang w:val="it-IT"/>
            </w:rPr>
            <w:t>1103082901/05.2014</w:t>
          </w:r>
          <w:r w:rsidRPr="00034BCA">
            <w:rPr>
              <w:rFonts w:ascii="Symbol" w:hAnsi="Symbol" w:cs="Symbol"/>
              <w:lang w:val="it-IT"/>
            </w:rPr>
            <w:t></w:t>
          </w:r>
          <w:r>
            <w:rPr>
              <w:rFonts w:cs="Frutiger LT Com 45 Light"/>
              <w:lang w:val="it-IT"/>
            </w:rPr>
            <w:t>Theben HTS AG</w:t>
          </w:r>
        </w:p>
      </w:tc>
    </w:tr>
  </w:tbl>
  <w:p w:rsidR="00D739CD" w:rsidRPr="004E2972" w:rsidRDefault="00D739CD" w:rsidP="004E2972">
    <w:pPr>
      <w:pStyle w:val="Fuzeile"/>
    </w:pPr>
    <w:r w:rsidRPr="00034BCA">
      <w:rPr>
        <w:lang w:val="it-IT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034BCA" w:rsidRDefault="00034B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70A8D" w:rsidRDefault="00570A8D">
      <w:r>
        <w:separator/>
      </w:r>
    </w:p>
  </w:footnote>
  <w:footnote w:type="continuationSeparator" w:id="0">
    <w:p w:rsidR="00570A8D" w:rsidRDefault="00570A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034BCA" w:rsidRDefault="00034BC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739CD" w:rsidRDefault="00D739CD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739CD" w:rsidRPr="004E2972" w:rsidTr="00034BCA">
      <w:tc>
        <w:tcPr>
          <w:tcW w:w="4747" w:type="dxa"/>
        </w:tcPr>
        <w:p w:rsidR="00D739CD" w:rsidRPr="004E2972" w:rsidRDefault="00034BCA" w:rsidP="00034BCA">
          <w:pPr>
            <w:pStyle w:val="Kopfzeile"/>
          </w:pPr>
          <w:r>
            <w:rPr>
              <w:rFonts w:cs="Frutiger LT Com 45 Light"/>
              <w:lang w:val="it-IT"/>
            </w:rPr>
            <w:t xml:space="preserve">Theben HTS AG </w:t>
          </w:r>
        </w:p>
        <w:p w:rsidR="00D739CD" w:rsidRPr="004E2972" w:rsidRDefault="00034BCA" w:rsidP="00034BCA">
          <w:pPr>
            <w:pStyle w:val="Kopfzeile"/>
          </w:pPr>
          <w:r>
            <w:rPr>
              <w:rFonts w:cs="Frutiger LT Com 45 Light"/>
              <w:lang w:val="it-IT"/>
            </w:rPr>
            <w:t xml:space="preserve">CH-8307 Effretikon </w:t>
          </w:r>
        </w:p>
        <w:p w:rsidR="00D739CD" w:rsidRPr="004E2972" w:rsidRDefault="00034BCA" w:rsidP="00034BCA">
          <w:pPr>
            <w:pStyle w:val="Kopfzeile"/>
          </w:pPr>
          <w:r>
            <w:rPr>
              <w:rFonts w:cs="Frutiger LT Com 45 Light"/>
              <w:lang w:val="it-IT"/>
            </w:rPr>
            <w:t>Tel. 052 355 17 00</w:t>
          </w:r>
        </w:p>
        <w:p w:rsidR="00D739CD" w:rsidRPr="004E2972" w:rsidRDefault="00034BCA" w:rsidP="00034BCA">
          <w:pPr>
            <w:pStyle w:val="Kopfzeile"/>
          </w:pPr>
          <w:r>
            <w:rPr>
              <w:rFonts w:cs="Frutiger LT Com 45 Light"/>
              <w:lang w:val="it-IT"/>
            </w:rPr>
            <w:t>Fax 052 355 17 01</w:t>
          </w:r>
        </w:p>
      </w:tc>
      <w:tc>
        <w:tcPr>
          <w:tcW w:w="4748" w:type="dxa"/>
        </w:tcPr>
        <w:p w:rsidR="00D739CD" w:rsidRPr="004E2972" w:rsidRDefault="00570A8D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739CD" w:rsidRPr="004E2972" w:rsidRDefault="00D739CD" w:rsidP="004E2972">
    <w:pPr>
      <w:pStyle w:val="Kopfzeile"/>
      <w:tabs>
        <w:tab w:val="clear" w:pos="4536"/>
        <w:tab w:val="clear" w:pos="9072"/>
      </w:tabs>
    </w:pPr>
    <w:r w:rsidRPr="00034BCA">
      <w:rPr>
        <w:rFonts w:ascii="Syntax" w:hAnsi="Syntax"/>
        <w:i/>
        <w:lang w:val="it-IT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034BCA" w:rsidRDefault="00034B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553394985">
    <w:abstractNumId w:val="2"/>
  </w:num>
  <w:num w:numId="2" w16cid:durableId="317194954">
    <w:abstractNumId w:val="3"/>
  </w:num>
  <w:num w:numId="3" w16cid:durableId="792941759">
    <w:abstractNumId w:val="1"/>
  </w:num>
  <w:num w:numId="4" w16cid:durableId="15816755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13DAC"/>
    <w:rsid w:val="00034BCA"/>
    <w:rsid w:val="000A49B0"/>
    <w:rsid w:val="000A7407"/>
    <w:rsid w:val="000B4392"/>
    <w:rsid w:val="000E3A05"/>
    <w:rsid w:val="00136A01"/>
    <w:rsid w:val="00167D65"/>
    <w:rsid w:val="001954BB"/>
    <w:rsid w:val="001F49C8"/>
    <w:rsid w:val="001F5BF1"/>
    <w:rsid w:val="00261E93"/>
    <w:rsid w:val="002C6314"/>
    <w:rsid w:val="002D071C"/>
    <w:rsid w:val="002D70BA"/>
    <w:rsid w:val="00306E86"/>
    <w:rsid w:val="003242DD"/>
    <w:rsid w:val="003327EE"/>
    <w:rsid w:val="00336145"/>
    <w:rsid w:val="00336D41"/>
    <w:rsid w:val="003567FA"/>
    <w:rsid w:val="00367E7C"/>
    <w:rsid w:val="003A6C78"/>
    <w:rsid w:val="003D717D"/>
    <w:rsid w:val="00430F45"/>
    <w:rsid w:val="00461495"/>
    <w:rsid w:val="004930BB"/>
    <w:rsid w:val="004B43D8"/>
    <w:rsid w:val="004C07C4"/>
    <w:rsid w:val="004E2972"/>
    <w:rsid w:val="004F2EB4"/>
    <w:rsid w:val="004F6840"/>
    <w:rsid w:val="005116E4"/>
    <w:rsid w:val="00522E30"/>
    <w:rsid w:val="00554D9B"/>
    <w:rsid w:val="00557AA9"/>
    <w:rsid w:val="00570A8D"/>
    <w:rsid w:val="00604C66"/>
    <w:rsid w:val="00616195"/>
    <w:rsid w:val="00622B3A"/>
    <w:rsid w:val="00630FC3"/>
    <w:rsid w:val="00643324"/>
    <w:rsid w:val="006573DC"/>
    <w:rsid w:val="00666E7B"/>
    <w:rsid w:val="00680D97"/>
    <w:rsid w:val="006B75C9"/>
    <w:rsid w:val="006D4E11"/>
    <w:rsid w:val="006E0D51"/>
    <w:rsid w:val="006F4CAD"/>
    <w:rsid w:val="007752C7"/>
    <w:rsid w:val="007B2E89"/>
    <w:rsid w:val="007C7A20"/>
    <w:rsid w:val="00857B98"/>
    <w:rsid w:val="00872719"/>
    <w:rsid w:val="008E010F"/>
    <w:rsid w:val="009002CC"/>
    <w:rsid w:val="00922419"/>
    <w:rsid w:val="00925F64"/>
    <w:rsid w:val="0093567A"/>
    <w:rsid w:val="00957B7B"/>
    <w:rsid w:val="00960F5D"/>
    <w:rsid w:val="009742FA"/>
    <w:rsid w:val="00983913"/>
    <w:rsid w:val="00994DE2"/>
    <w:rsid w:val="009F6E61"/>
    <w:rsid w:val="00A22364"/>
    <w:rsid w:val="00A41B0E"/>
    <w:rsid w:val="00A47C97"/>
    <w:rsid w:val="00A651B8"/>
    <w:rsid w:val="00A72AEF"/>
    <w:rsid w:val="00A76871"/>
    <w:rsid w:val="00AB2128"/>
    <w:rsid w:val="00AB4B97"/>
    <w:rsid w:val="00B345A1"/>
    <w:rsid w:val="00B42F4E"/>
    <w:rsid w:val="00C05DE7"/>
    <w:rsid w:val="00C1124C"/>
    <w:rsid w:val="00C203A0"/>
    <w:rsid w:val="00C43A40"/>
    <w:rsid w:val="00C84303"/>
    <w:rsid w:val="00C8699D"/>
    <w:rsid w:val="00C953BB"/>
    <w:rsid w:val="00CA46A7"/>
    <w:rsid w:val="00CB1CD5"/>
    <w:rsid w:val="00CE0149"/>
    <w:rsid w:val="00CF20FB"/>
    <w:rsid w:val="00D00BF0"/>
    <w:rsid w:val="00D05F16"/>
    <w:rsid w:val="00D739CD"/>
    <w:rsid w:val="00D7757B"/>
    <w:rsid w:val="00D84889"/>
    <w:rsid w:val="00D96261"/>
    <w:rsid w:val="00DA5A07"/>
    <w:rsid w:val="00DF4FE3"/>
    <w:rsid w:val="00E66107"/>
    <w:rsid w:val="00E769D5"/>
    <w:rsid w:val="00E96553"/>
    <w:rsid w:val="00EA1E7A"/>
    <w:rsid w:val="00EB4AB1"/>
    <w:rsid w:val="00EC36C2"/>
    <w:rsid w:val="00EF27C6"/>
    <w:rsid w:val="00F07E9A"/>
    <w:rsid w:val="00F33924"/>
    <w:rsid w:val="00F55BBA"/>
    <w:rsid w:val="00FA470D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ED558ECA-A132-444E-996F-B4C1B60F7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324</Words>
  <Characters>2045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Testo d'appalto per compact office Tedesco</vt:lpstr>
    </vt:vector>
  </TitlesOfParts>
  <Company> HTS High Technology Systems AG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dc:description/>
  <cp:lastModifiedBy>Jürgen Schwitzer</cp:lastModifiedBy>
  <cp:revision>2</cp:revision>
  <cp:lastPrinted>2013-09-26T12:44:00Z</cp:lastPrinted>
  <dcterms:created xsi:type="dcterms:W3CDTF">2026-10-16T12:08:00Z</dcterms:created>
  <dcterms:modified xsi:type="dcterms:W3CDTF">2026-10-16T12:08:00Z</dcterms:modified>
</cp:coreProperties>
</file>