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C866B1" w:rsidP="00C866B1">
      <w:pPr>
        <w:pStyle w:val="berschrift1"/>
        <w:spacing w:after="240"/>
        <w:rPr>
          <w:rFonts w:ascii="Arial" w:hAnsi="Arial" w:cs="Arial"/>
        </w:rPr>
      </w:pPr>
      <w:r w:rsidRPr="00C866B1">
        <w:rPr>
          <w:rFonts w:ascii="Arial" w:hAnsi="Arial" w:cs="Arial"/>
          <w:bCs/>
          <w:szCs w:val="28"/>
          <w:lang w:val="it-IT"/>
        </w:rPr>
        <w:t>Testo d'appalto per rivelatore di presenza DALI</w:t>
      </w:r>
    </w:p>
    <w:p w:rsidR="00D00BF0" w:rsidRPr="008F33C7" w:rsidRDefault="00C866B1" w:rsidP="00C866B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C866B1">
        <w:rPr>
          <w:rFonts w:ascii="Arial" w:hAnsi="Arial" w:cs="Arial"/>
          <w:bCs/>
          <w:sz w:val="20"/>
          <w:lang w:val="it-IT"/>
        </w:rPr>
        <w:t>Rivelatore di presenza theRonda S360-110 DALI UP WH / GR</w:t>
      </w:r>
    </w:p>
    <w:p w:rsidR="00A651B8" w:rsidRPr="00E41010" w:rsidRDefault="00C866B1" w:rsidP="00C866B1">
      <w:pPr>
        <w:pStyle w:val="Aufzhlung"/>
        <w:ind w:left="0" w:firstLine="0"/>
        <w:rPr>
          <w:rFonts w:ascii="Arial" w:hAnsi="Arial" w:cs="Arial"/>
        </w:rPr>
      </w:pPr>
      <w:r w:rsidRPr="00C866B1">
        <w:rPr>
          <w:rFonts w:ascii="Arial" w:hAnsi="Arial" w:cs="Arial"/>
          <w:lang w:val="it-IT"/>
        </w:rPr>
        <w:t>Rivelatore di presenza a infrarossi passivi per montaggio a soffitto; comando dell'illuminazione automatico in funzione di presenza e della luminosità con regolazione luce costante o funzionamento a commutazione; range di rilevamento circa 360°, in movimento 50 m</w:t>
      </w:r>
      <w:r w:rsidRPr="00C866B1">
        <w:rPr>
          <w:rFonts w:ascii="Arial" w:hAnsi="Arial" w:cs="Arial"/>
          <w:vertAlign w:val="superscript"/>
          <w:lang w:val="it-IT"/>
        </w:rPr>
        <w:t>2</w:t>
      </w:r>
      <w:r w:rsidRPr="00C866B1">
        <w:rPr>
          <w:rFonts w:ascii="Arial" w:hAnsi="Arial" w:cs="Arial"/>
          <w:lang w:val="it-IT"/>
        </w:rPr>
        <w:t xml:space="preserve"> (Ø 8 m), seduti 13 m</w:t>
      </w:r>
      <w:r w:rsidRPr="00C866B1">
        <w:rPr>
          <w:rFonts w:ascii="Arial" w:hAnsi="Arial" w:cs="Arial"/>
          <w:vertAlign w:val="superscript"/>
          <w:lang w:val="it-IT"/>
        </w:rPr>
        <w:t>2</w:t>
      </w:r>
      <w:r w:rsidRPr="00C866B1">
        <w:rPr>
          <w:rFonts w:ascii="Arial" w:hAnsi="Arial" w:cs="Arial"/>
          <w:lang w:val="it-IT"/>
        </w:rPr>
        <w:t xml:space="preserve"> (Ø 4 m)</w:t>
      </w:r>
      <w:r w:rsidRPr="00C866B1">
        <w:rPr>
          <w:rFonts w:ascii="Arial" w:hAnsi="Arial" w:cs="Arial"/>
          <w:vertAlign w:val="superscript"/>
          <w:lang w:val="it-IT"/>
        </w:rPr>
        <w:t xml:space="preserve"> </w:t>
      </w:r>
      <w:r w:rsidRPr="00C866B1">
        <w:rPr>
          <w:rFonts w:ascii="Arial" w:hAnsi="Arial" w:cs="Arial"/>
          <w:lang w:val="it-IT"/>
        </w:rPr>
        <w:t xml:space="preserve">con altezza di montaggio di 3 m; </w:t>
      </w:r>
      <w:r w:rsidRPr="00C866B1">
        <w:rPr>
          <w:rFonts w:ascii="Arial" w:hAnsi="Arial" w:cs="Arial"/>
          <w:b/>
          <w:bCs/>
          <w:lang w:val="it-IT"/>
        </w:rPr>
        <w:t>altezza di montaggio fino a 4 m</w:t>
      </w:r>
      <w:r w:rsidRPr="00C866B1">
        <w:rPr>
          <w:rFonts w:ascii="Arial" w:hAnsi="Arial" w:cs="Arial"/>
          <w:lang w:val="it-IT"/>
        </w:rPr>
        <w:t>, limitazione del range con clip di copertura (opzionali);</w:t>
      </w:r>
    </w:p>
    <w:p w:rsidR="00925F64" w:rsidRPr="00E41010" w:rsidRDefault="00C866B1" w:rsidP="00C866B1">
      <w:pPr>
        <w:pStyle w:val="Aufzhlung"/>
        <w:ind w:left="0" w:firstLine="0"/>
        <w:rPr>
          <w:rFonts w:ascii="Arial" w:hAnsi="Arial" w:cs="Arial"/>
        </w:rPr>
      </w:pPr>
      <w:r w:rsidRPr="00C866B1">
        <w:rPr>
          <w:rFonts w:ascii="Arial" w:hAnsi="Arial" w:cs="Arial"/>
          <w:lang w:val="it-IT"/>
        </w:rPr>
        <w:t>misurazione in luce mista adatta per lampade fluorescenti (FL/PL/ESL), lampade alogene e a incandescenza e LED;</w:t>
      </w:r>
    </w:p>
    <w:p w:rsidR="0070035F" w:rsidRPr="00E41010" w:rsidRDefault="00C866B1" w:rsidP="00C866B1">
      <w:pPr>
        <w:pStyle w:val="Aufzhlung"/>
        <w:ind w:left="0" w:firstLine="0"/>
        <w:rPr>
          <w:rFonts w:ascii="Arial" w:hAnsi="Arial" w:cs="Arial"/>
        </w:rPr>
      </w:pPr>
      <w:r w:rsidRPr="00C866B1">
        <w:rPr>
          <w:rFonts w:ascii="Arial" w:hAnsi="Arial" w:cs="Arial"/>
          <w:spacing w:val="-3"/>
          <w:lang w:val="it-IT"/>
        </w:rPr>
        <w:t xml:space="preserve">tensione d'esercizio 110 - 230 V AC / 50 - 60 Hz, </w:t>
      </w:r>
      <w:r w:rsidRPr="00C866B1">
        <w:rPr>
          <w:rFonts w:ascii="Arial" w:hAnsi="Arial" w:cs="Arial"/>
          <w:b/>
          <w:bCs/>
          <w:spacing w:val="-3"/>
          <w:lang w:val="it-IT"/>
        </w:rPr>
        <w:t>consumo proprio ca. 0,3 W</w:t>
      </w:r>
      <w:r w:rsidRPr="00C866B1">
        <w:rPr>
          <w:rFonts w:ascii="Arial" w:hAnsi="Arial" w:cs="Arial"/>
          <w:spacing w:val="-3"/>
          <w:lang w:val="it-IT"/>
        </w:rPr>
        <w:t xml:space="preserve">; </w:t>
      </w:r>
      <w:r w:rsidRPr="00C866B1">
        <w:rPr>
          <w:rFonts w:ascii="Arial" w:hAnsi="Arial" w:cs="Arial"/>
          <w:b/>
          <w:bCs/>
          <w:lang w:val="it-IT"/>
        </w:rPr>
        <w:t>tipo di protezione IP 54</w:t>
      </w:r>
      <w:r w:rsidRPr="00C866B1">
        <w:rPr>
          <w:rFonts w:ascii="Arial" w:hAnsi="Arial" w:cs="Arial"/>
          <w:lang w:val="it-IT"/>
        </w:rPr>
        <w:t xml:space="preserve"> (montato); interfaccia DALI secondo EN 62386 per max. </w:t>
      </w:r>
      <w:r w:rsidRPr="00C866B1">
        <w:rPr>
          <w:rFonts w:ascii="Arial" w:hAnsi="Arial" w:cs="Arial"/>
          <w:b/>
          <w:bCs/>
          <w:lang w:val="it-IT"/>
        </w:rPr>
        <w:t>50 apparecchi DALI</w:t>
      </w:r>
      <w:r w:rsidRPr="00C866B1">
        <w:rPr>
          <w:rFonts w:ascii="Arial" w:hAnsi="Arial" w:cs="Arial"/>
          <w:lang w:val="it-IT"/>
        </w:rPr>
        <w:t>;</w:t>
      </w:r>
    </w:p>
    <w:p w:rsidR="00604C66" w:rsidRPr="003327EE" w:rsidRDefault="00C866B1" w:rsidP="00C866B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C866B1">
        <w:rPr>
          <w:rFonts w:ascii="Arial" w:hAnsi="Arial" w:cs="Arial"/>
          <w:lang w:val="it-IT"/>
        </w:rPr>
        <w:t xml:space="preserve">semplice messa in servizio senza programmazione di indirizzi di gruppo (DALI Broadcast); regolazione luce costante oppure illuminazione regolabile in funzionamento a commutazione con e senza influsso luce diurna; funzionalità stand-by; luminosità di stand-by </w:t>
      </w:r>
      <w:r w:rsidRPr="00C866B1">
        <w:rPr>
          <w:rFonts w:ascii="Arial" w:hAnsi="Arial" w:cs="Arial"/>
          <w:b/>
          <w:bCs/>
          <w:lang w:val="it-IT"/>
        </w:rPr>
        <w:t xml:space="preserve">a regolazione continua da 1 – 25 % impostabile </w:t>
      </w:r>
      <w:r w:rsidRPr="00C866B1">
        <w:rPr>
          <w:rFonts w:ascii="Arial" w:hAnsi="Arial" w:cs="Arial"/>
          <w:lang w:val="it-IT"/>
        </w:rPr>
        <w:t xml:space="preserve">come luce di orientamento; funzionamento commutabile tra completamente automatico o semiautomatico; valore nominale della luminosità impostabile ca. 10 – 3000 Lux, funzione di apprendimento tramite telecomando o pulsante; tempo di coda con autoapprendimento 10 s – 60 min; </w:t>
      </w:r>
      <w:r w:rsidRPr="00C866B1">
        <w:rPr>
          <w:rFonts w:ascii="Arial" w:hAnsi="Arial" w:cs="Arial"/>
          <w:b/>
          <w:bCs/>
          <w:lang w:val="it-IT"/>
        </w:rPr>
        <w:t>riduzione del tempo di coda in caso di presenza breve</w:t>
      </w:r>
      <w:r w:rsidRPr="00C866B1">
        <w:rPr>
          <w:rFonts w:ascii="Arial" w:hAnsi="Arial" w:cs="Arial"/>
          <w:lang w:val="it-IT"/>
        </w:rPr>
        <w:t xml:space="preserve"> (presenza breve); soluzione di collegamento per</w:t>
      </w:r>
      <w:r w:rsidRPr="00C866B1">
        <w:rPr>
          <w:rFonts w:ascii="Arial" w:hAnsi="Arial" w:cs="Arial"/>
          <w:b/>
          <w:bCs/>
          <w:color w:val="auto"/>
          <w:lang w:val="it-IT"/>
        </w:rPr>
        <w:t xml:space="preserve"> tasti convenzionali </w:t>
      </w:r>
      <w:r w:rsidRPr="00C866B1">
        <w:rPr>
          <w:rFonts w:ascii="Arial" w:hAnsi="Arial" w:cs="Arial"/>
          <w:lang w:val="it-IT"/>
        </w:rPr>
        <w:t xml:space="preserve">per commutazione e regolazione manuale; </w:t>
      </w:r>
      <w:r w:rsidRPr="00C866B1">
        <w:rPr>
          <w:rFonts w:ascii="Arial" w:hAnsi="Arial" w:cs="Arial"/>
          <w:b/>
          <w:bCs/>
          <w:lang w:val="it-IT"/>
        </w:rPr>
        <w:t>comportamento selezionabile con comando tasti</w:t>
      </w:r>
      <w:r w:rsidRPr="00C866B1">
        <w:rPr>
          <w:rFonts w:ascii="Arial" w:hAnsi="Arial" w:cs="Arial"/>
          <w:lang w:val="it-IT"/>
        </w:rPr>
        <w:t xml:space="preserve"> (school, office); </w:t>
      </w:r>
      <w:r w:rsidRPr="00C866B1">
        <w:rPr>
          <w:rFonts w:ascii="Arial" w:hAnsi="Arial" w:cs="Arial"/>
          <w:b/>
          <w:bCs/>
          <w:lang w:val="it-IT"/>
        </w:rPr>
        <w:t>funzionalità scene</w:t>
      </w:r>
      <w:r w:rsidRPr="00C866B1">
        <w:rPr>
          <w:rFonts w:ascii="Arial" w:hAnsi="Arial" w:cs="Arial"/>
          <w:lang w:val="it-IT"/>
        </w:rPr>
        <w:t xml:space="preserve">; </w:t>
      </w:r>
      <w:r w:rsidRPr="00C866B1">
        <w:rPr>
          <w:rFonts w:ascii="Arial" w:hAnsi="Arial" w:cs="Arial"/>
          <w:b/>
          <w:bCs/>
          <w:lang w:val="it-IT"/>
        </w:rPr>
        <w:t>regolazione semplice della misurazione della luminosità</w:t>
      </w:r>
      <w:r w:rsidRPr="00C866B1">
        <w:rPr>
          <w:rFonts w:ascii="Arial" w:hAnsi="Arial" w:cs="Arial"/>
          <w:lang w:val="it-IT"/>
        </w:rPr>
        <w:t xml:space="preserve"> con inserimento del valore Lux misurato (fattore di correzione ambiente); sensibilità di rilevamento regolabile; parametrizzabile a distanza con telecomando; regolazione molto semplice modalità risparmio energetico con la funzione "eco plus"; modalità di test per la verifica di funzionamento e range di rilevamento; ampliamento del range di rilevamento grazie al collegamento master-slave oppure </w:t>
      </w:r>
      <w:r w:rsidRPr="00C866B1">
        <w:rPr>
          <w:rFonts w:ascii="Arial" w:hAnsi="Arial" w:cs="Arial"/>
          <w:b/>
          <w:bCs/>
          <w:lang w:val="it-IT"/>
        </w:rPr>
        <w:t>master-master;</w:t>
      </w:r>
    </w:p>
    <w:p w:rsidR="007E0039" w:rsidRPr="003327EE" w:rsidRDefault="00C866B1" w:rsidP="00C866B1">
      <w:pPr>
        <w:pStyle w:val="Aufzhlung"/>
        <w:ind w:left="0" w:firstLine="0"/>
        <w:rPr>
          <w:rFonts w:ascii="Arial" w:hAnsi="Arial" w:cs="Arial"/>
        </w:rPr>
      </w:pPr>
      <w:r w:rsidRPr="00C866B1">
        <w:rPr>
          <w:rFonts w:ascii="Arial" w:hAnsi="Arial" w:cs="Arial"/>
          <w:lang w:val="it-IT"/>
        </w:rPr>
        <w:t>profondità d'incasso 40 mm, montaggio a soffitto in scatola ad incasso Gr.1 o scatola di di giunzione per soffitti 73 A, montaggio a soffitto possibile con telaio a vista 110 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C866B1" w:rsidP="00C866B1">
      <w:pPr>
        <w:spacing w:after="240"/>
        <w:rPr>
          <w:rFonts w:ascii="Arial" w:hAnsi="Arial" w:cs="Arial"/>
          <w:sz w:val="20"/>
          <w:lang w:val="en-US"/>
        </w:rPr>
      </w:pPr>
      <w:r w:rsidRPr="00C866B1">
        <w:rPr>
          <w:rFonts w:ascii="Arial" w:hAnsi="Arial" w:cs="Arial"/>
          <w:sz w:val="20"/>
          <w:lang w:val="it-IT"/>
        </w:rPr>
        <w:t>Prodotto: ThebenHTS</w:t>
      </w:r>
    </w:p>
    <w:p w:rsidR="004E2972" w:rsidRPr="007E0039" w:rsidRDefault="00C866B1" w:rsidP="00C866B1">
      <w:pPr>
        <w:rPr>
          <w:rFonts w:ascii="Arial" w:hAnsi="Arial" w:cs="Arial"/>
          <w:sz w:val="20"/>
          <w:lang w:val="en-US"/>
        </w:rPr>
      </w:pPr>
      <w:r w:rsidRPr="00C866B1">
        <w:rPr>
          <w:rFonts w:ascii="Arial" w:hAnsi="Arial" w:cs="Arial"/>
          <w:sz w:val="20"/>
          <w:lang w:val="it-IT"/>
        </w:rPr>
        <w:t>Tipo: theRonda S360-110 DALI UP..</w:t>
      </w:r>
    </w:p>
    <w:p w:rsidR="004E2972" w:rsidRPr="003327EE" w:rsidRDefault="00C866B1" w:rsidP="00C866B1">
      <w:pPr>
        <w:rPr>
          <w:rFonts w:ascii="Arial" w:hAnsi="Arial" w:cs="Arial"/>
          <w:sz w:val="20"/>
          <w:lang w:val="en-US"/>
        </w:rPr>
      </w:pPr>
      <w:r w:rsidRPr="00C866B1">
        <w:rPr>
          <w:rFonts w:ascii="Arial" w:hAnsi="Arial" w:cs="Arial"/>
          <w:sz w:val="20"/>
          <w:lang w:val="it-IT"/>
        </w:rPr>
        <w:t>N. d'ordine: 2080580 (theRonda S360-110 DALI UP WH, bianco)</w:t>
      </w:r>
    </w:p>
    <w:p w:rsidR="00A41B0E" w:rsidRPr="003327EE" w:rsidRDefault="00C866B1" w:rsidP="00C866B1">
      <w:pPr>
        <w:rPr>
          <w:rFonts w:ascii="Arial" w:hAnsi="Arial" w:cs="Arial"/>
          <w:sz w:val="20"/>
          <w:lang w:val="en-US"/>
        </w:rPr>
      </w:pPr>
      <w:r w:rsidRPr="00C866B1">
        <w:rPr>
          <w:rFonts w:ascii="Arial" w:hAnsi="Arial" w:cs="Arial"/>
          <w:sz w:val="20"/>
          <w:lang w:val="it-IT"/>
        </w:rPr>
        <w:tab/>
        <w:t xml:space="preserve">      2080581 (theRonda P360-110 DALI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C866B1" w:rsidP="00C866B1">
      <w:pPr>
        <w:rPr>
          <w:rFonts w:ascii="Arial" w:hAnsi="Arial" w:cs="Arial"/>
          <w:b/>
          <w:sz w:val="20"/>
        </w:rPr>
      </w:pPr>
      <w:r w:rsidRPr="00C866B1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4C07C4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Guida testuale per l'operatore sul display. Possibilità di trasmissione di singoli valori di regolazione o di interi set di parametri al rilevatore. Adatto a tutti i rivelatore di presenza ThebenHTS impostabili a distanza.</w:t>
      </w:r>
    </w:p>
    <w:p w:rsidR="004E2972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6D2EDA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6D2EDA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Telecomando utente "theSenda S"</w:t>
      </w:r>
    </w:p>
    <w:p w:rsidR="004E2972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lastRenderedPageBreak/>
        <w:t>Opzionale</w:t>
      </w:r>
    </w:p>
    <w:p w:rsidR="00557AA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Telaio a vista 110A GR</w:t>
      </w:r>
    </w:p>
    <w:p w:rsidR="00DF1D3A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DF1D3A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Scatola di giunzione per soffitti 73A</w:t>
      </w:r>
    </w:p>
    <w:p w:rsidR="0092241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C866B1" w:rsidP="00C866B1">
      <w:pPr>
        <w:pStyle w:val="berschrift3"/>
        <w:rPr>
          <w:rFonts w:ascii="Arial" w:hAnsi="Arial" w:cs="Arial"/>
          <w:sz w:val="20"/>
        </w:rPr>
      </w:pPr>
      <w:r w:rsidRPr="00C866B1">
        <w:rPr>
          <w:rFonts w:ascii="Arial" w:hAnsi="Arial" w:cs="Arial"/>
          <w:bCs/>
          <w:sz w:val="20"/>
          <w:lang w:val="it-IT"/>
        </w:rPr>
        <w:t>Clip di copertura per limitazione del range</w:t>
      </w:r>
    </w:p>
    <w:p w:rsidR="007E003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Opzionale</w:t>
      </w:r>
    </w:p>
    <w:p w:rsidR="007E0039" w:rsidRPr="003327EE" w:rsidRDefault="00C866B1" w:rsidP="00C866B1">
      <w:pPr>
        <w:rPr>
          <w:rFonts w:ascii="Arial" w:hAnsi="Arial" w:cs="Arial"/>
          <w:sz w:val="20"/>
        </w:rPr>
      </w:pPr>
      <w:r w:rsidRPr="00C866B1">
        <w:rPr>
          <w:rFonts w:ascii="Arial" w:hAnsi="Arial" w:cs="Arial"/>
          <w:sz w:val="20"/>
          <w:lang w:val="it-IT"/>
        </w:rPr>
        <w:t>N. d'ordine: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00315" w:rsidRDefault="00C00315">
      <w:r>
        <w:separator/>
      </w:r>
    </w:p>
  </w:endnote>
  <w:endnote w:type="continuationSeparator" w:id="0">
    <w:p w:rsidR="00C00315" w:rsidRDefault="00C0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C866B1">
      <w:tc>
        <w:tcPr>
          <w:tcW w:w="4747" w:type="dxa"/>
        </w:tcPr>
        <w:p w:rsidR="003327EE" w:rsidRPr="001B79A9" w:rsidRDefault="00C866B1" w:rsidP="00C866B1">
          <w:pPr>
            <w:pStyle w:val="Fuzeile"/>
            <w:rPr>
              <w:rFonts w:ascii="Arial" w:hAnsi="Arial" w:cs="Arial"/>
            </w:rPr>
          </w:pPr>
          <w:r w:rsidRPr="00C866B1">
            <w:rPr>
              <w:rFonts w:ascii="Arial" w:hAnsi="Arial" w:cs="Arial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3327EE" w:rsidRPr="001B79A9" w:rsidRDefault="00C866B1" w:rsidP="00C866B1">
          <w:pPr>
            <w:pStyle w:val="Fuzeile"/>
            <w:jc w:val="right"/>
            <w:rPr>
              <w:rFonts w:ascii="Arial" w:hAnsi="Arial" w:cs="Arial"/>
            </w:rPr>
          </w:pPr>
          <w:r w:rsidRPr="00C866B1">
            <w:rPr>
              <w:rFonts w:ascii="Arial" w:hAnsi="Arial" w:cs="Arial"/>
              <w:lang w:val="it-IT"/>
            </w:rPr>
            <w:t>1103109501/02.2017</w:t>
          </w:r>
          <w:r w:rsidRPr="00C866B1">
            <w:rPr>
              <w:rFonts w:ascii="Symbol" w:hAnsi="Symbol" w:cs="Symbol"/>
              <w:lang w:val="it-IT"/>
            </w:rPr>
            <w:t></w:t>
          </w:r>
          <w:r w:rsidRPr="00C866B1">
            <w:rPr>
              <w:rFonts w:ascii="Arial" w:hAnsi="Arial" w:cs="Arial"/>
              <w:lang w:val="it-IT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C866B1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00315" w:rsidRDefault="00C00315">
      <w:r>
        <w:separator/>
      </w:r>
    </w:p>
  </w:footnote>
  <w:footnote w:type="continuationSeparator" w:id="0">
    <w:p w:rsidR="00C00315" w:rsidRDefault="00C00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C866B1">
      <w:tc>
        <w:tcPr>
          <w:tcW w:w="4747" w:type="dxa"/>
        </w:tcPr>
        <w:p w:rsidR="003327EE" w:rsidRPr="001B79A9" w:rsidRDefault="00C866B1" w:rsidP="00C866B1">
          <w:pPr>
            <w:pStyle w:val="Kopfzeile"/>
            <w:rPr>
              <w:rFonts w:ascii="Arial" w:hAnsi="Arial" w:cs="Arial"/>
            </w:rPr>
          </w:pPr>
          <w:r w:rsidRPr="00C866B1">
            <w:rPr>
              <w:rFonts w:ascii="Arial" w:hAnsi="Arial" w:cs="Arial"/>
              <w:lang w:val="it-IT"/>
            </w:rPr>
            <w:t xml:space="preserve">Theben HTS AG </w:t>
          </w:r>
        </w:p>
        <w:p w:rsidR="003327EE" w:rsidRPr="001B79A9" w:rsidRDefault="00C866B1" w:rsidP="00C866B1">
          <w:pPr>
            <w:pStyle w:val="Kopfzeile"/>
            <w:rPr>
              <w:rFonts w:ascii="Arial" w:hAnsi="Arial" w:cs="Arial"/>
            </w:rPr>
          </w:pPr>
          <w:r w:rsidRPr="00C866B1">
            <w:rPr>
              <w:rFonts w:ascii="Arial" w:hAnsi="Arial" w:cs="Arial"/>
              <w:lang w:val="it-IT"/>
            </w:rPr>
            <w:t xml:space="preserve">CH-8307 Effretikon </w:t>
          </w:r>
        </w:p>
        <w:p w:rsidR="003327EE" w:rsidRPr="001B79A9" w:rsidRDefault="00C866B1" w:rsidP="00C866B1">
          <w:pPr>
            <w:pStyle w:val="Kopfzeile"/>
            <w:rPr>
              <w:rFonts w:ascii="Arial" w:hAnsi="Arial" w:cs="Arial"/>
            </w:rPr>
          </w:pPr>
          <w:r w:rsidRPr="00C866B1">
            <w:rPr>
              <w:rFonts w:ascii="Arial" w:hAnsi="Arial" w:cs="Arial"/>
              <w:lang w:val="it-IT"/>
            </w:rPr>
            <w:t>Tel. 052 355 17 00</w:t>
          </w:r>
        </w:p>
        <w:p w:rsidR="003327EE" w:rsidRPr="00A961B4" w:rsidRDefault="00C866B1" w:rsidP="00C866B1">
          <w:pPr>
            <w:pStyle w:val="Kopfzeile"/>
            <w:rPr>
              <w:sz w:val="18"/>
              <w:szCs w:val="18"/>
            </w:rPr>
          </w:pPr>
          <w:r w:rsidRPr="00C866B1">
            <w:rPr>
              <w:rFonts w:ascii="Arial" w:hAnsi="Arial" w:cs="Arial"/>
              <w:lang w:val="it-IT"/>
            </w:rPr>
            <w:t>Fax 052 355 17 01</w:t>
          </w:r>
        </w:p>
      </w:tc>
      <w:tc>
        <w:tcPr>
          <w:tcW w:w="4748" w:type="dxa"/>
        </w:tcPr>
        <w:p w:rsidR="003327EE" w:rsidRPr="004E2972" w:rsidRDefault="00C00315" w:rsidP="00A961B4">
          <w:pPr>
            <w:pStyle w:val="Kopfzeile"/>
            <w:jc w:val="right"/>
          </w:pPr>
          <w:r w:rsidRPr="00C866B1">
            <w:rPr>
              <w:noProof/>
              <w:lang w:val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C866B1">
      <w:rPr>
        <w:rFonts w:ascii="Syntax" w:hAnsi="Syntax"/>
        <w:i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03800514">
    <w:abstractNumId w:val="2"/>
  </w:num>
  <w:num w:numId="2" w16cid:durableId="1876648252">
    <w:abstractNumId w:val="3"/>
  </w:num>
  <w:num w:numId="3" w16cid:durableId="47804601">
    <w:abstractNumId w:val="1"/>
  </w:num>
  <w:num w:numId="4" w16cid:durableId="11134026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B79A9"/>
    <w:rsid w:val="001E2FC5"/>
    <w:rsid w:val="001F29A1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76BE"/>
    <w:rsid w:val="00430F45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B00836"/>
    <w:rsid w:val="00B345A1"/>
    <w:rsid w:val="00B440C2"/>
    <w:rsid w:val="00B73141"/>
    <w:rsid w:val="00B978DB"/>
    <w:rsid w:val="00BF2E49"/>
    <w:rsid w:val="00C00315"/>
    <w:rsid w:val="00C05DE7"/>
    <w:rsid w:val="00C1124C"/>
    <w:rsid w:val="00C203A0"/>
    <w:rsid w:val="00C71ECC"/>
    <w:rsid w:val="00C84303"/>
    <w:rsid w:val="00C866B1"/>
    <w:rsid w:val="00C8699D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EA87DA0-D1A6-6240-AD6C-F7DFC113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447</Words>
  <Characters>2822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2026-10-16T12:11:00Z</dcterms:created>
  <dcterms:modified xsi:type="dcterms:W3CDTF">2026-10-16T12:11:00Z</dcterms:modified>
</cp:coreProperties>
</file>